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Layout w:type="fixed"/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66666"/>
                      <w:sz w:val="30"/>
                      <w:szCs w:val="30"/>
                      <w:u w:val="none"/>
                      <w:lang w:eastAsia="zh-CN"/>
                    </w:rPr>
                    <w:t>穿刺模拟示教人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9004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</w:rPr>
                    <w:t xml:space="preserve">日—  2019年 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竞争性谈判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24800元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重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庆吉卫科技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有限公司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陶园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夏江算  陆昌敏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 组长: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陶园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8"/>
                      <w:szCs w:val="28"/>
                    </w:rPr>
                    <w:t>重庆市合川区人民医院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</w:rPr>
              <w:t>合川区人民医院</w:t>
            </w: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u w:val="single"/>
                <w:lang w:eastAsia="zh-CN"/>
              </w:rPr>
              <w:t>穿刺模拟示教人</w:t>
            </w: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2019年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24"/>
          <w:szCs w:val="24"/>
        </w:rPr>
        <w:t>日</w:t>
      </w:r>
    </w:p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12332632"/>
    <w:rsid w:val="282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2016-08-29T01:13:00Z</cp:lastPrinted>
  <dcterms:modified xsi:type="dcterms:W3CDTF">2019-02-21T08:21:55Z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