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outlineLvl w:val="0"/>
        <w:rPr>
          <w:rFonts w:ascii="方正黑体_GBK" w:hAnsi="宋体" w:eastAsia="方正黑体_GBK"/>
          <w:spacing w:val="68"/>
          <w:sz w:val="112"/>
          <w:szCs w:val="112"/>
        </w:rPr>
      </w:pPr>
    </w:p>
    <w:p>
      <w:pPr>
        <w:outlineLvl w:val="0"/>
        <w:rPr>
          <w:rFonts w:ascii="方正黑体_GBK" w:hAnsi="宋体" w:eastAsia="方正黑体_GBK"/>
          <w:spacing w:val="68"/>
          <w:sz w:val="112"/>
          <w:szCs w:val="112"/>
        </w:rPr>
      </w:pPr>
      <w:r>
        <w:rPr>
          <w:rFonts w:hint="eastAsia" w:ascii="方正黑体_GBK" w:hAnsi="宋体" w:eastAsia="方正黑体_GBK"/>
          <w:spacing w:val="68"/>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620" w:firstLineChars="450"/>
        <w:jc w:val="left"/>
        <w:rPr>
          <w:rFonts w:ascii="方正小标宋_GBK" w:hAnsi="宋体" w:eastAsia="方正小标宋_GBK"/>
          <w:sz w:val="36"/>
          <w:szCs w:val="30"/>
        </w:rPr>
      </w:pPr>
      <w:r>
        <w:rPr>
          <w:rFonts w:hint="eastAsia" w:ascii="方正小标宋_GBK" w:hAnsi="宋体" w:eastAsia="方正小标宋_GBK"/>
          <w:sz w:val="36"/>
          <w:szCs w:val="30"/>
        </w:rPr>
        <w:t>项 目 名 称：</w:t>
      </w:r>
      <w:r>
        <w:rPr>
          <w:rFonts w:hint="eastAsia" w:ascii="方正小标宋_GBK" w:hAnsi="宋体" w:eastAsia="方正小标宋_GBK"/>
          <w:sz w:val="36"/>
          <w:szCs w:val="30"/>
          <w:lang w:val="en-US" w:eastAsia="zh-CN"/>
        </w:rPr>
        <w:t>职工食堂食材配送（第二次）</w:t>
      </w:r>
    </w:p>
    <w:p>
      <w:pPr>
        <w:spacing w:line="700" w:lineRule="exact"/>
        <w:ind w:firstLine="1620" w:firstLineChars="450"/>
        <w:jc w:val="left"/>
        <w:rPr>
          <w:rFonts w:ascii="宋体" w:hAnsi="宋体"/>
          <w:b/>
          <w:sz w:val="32"/>
          <w:szCs w:val="32"/>
        </w:rPr>
      </w:pPr>
      <w:r>
        <w:rPr>
          <w:rFonts w:hint="eastAsia" w:ascii="方正小标宋_GBK" w:hAnsi="宋体" w:eastAsia="方正小标宋_GBK"/>
          <w:sz w:val="36"/>
          <w:szCs w:val="30"/>
        </w:rPr>
        <w:t>项 目 编 号：202</w:t>
      </w:r>
      <w:r>
        <w:rPr>
          <w:rFonts w:hint="eastAsia" w:ascii="方正小标宋_GBK" w:hAnsi="宋体" w:eastAsia="方正小标宋_GBK"/>
          <w:sz w:val="36"/>
          <w:szCs w:val="30"/>
          <w:lang w:val="en-US" w:eastAsia="zh-CN"/>
        </w:rPr>
        <w:t>2</w:t>
      </w:r>
      <w:r>
        <w:rPr>
          <w:rFonts w:hint="eastAsia" w:ascii="方正小标宋_GBK" w:hAnsi="宋体" w:eastAsia="方正小标宋_GBK"/>
          <w:sz w:val="36"/>
          <w:szCs w:val="30"/>
        </w:rPr>
        <w:t>0</w:t>
      </w:r>
      <w:r>
        <w:rPr>
          <w:rFonts w:hint="eastAsia" w:ascii="方正小标宋_GBK" w:hAnsi="宋体" w:eastAsia="方正小标宋_GBK"/>
          <w:sz w:val="36"/>
          <w:szCs w:val="30"/>
          <w:lang w:val="en-US" w:eastAsia="zh-CN"/>
        </w:rPr>
        <w:t>14</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p>
    <w:p>
      <w:pPr>
        <w:spacing w:line="480" w:lineRule="exact"/>
        <w:jc w:val="center"/>
        <w:outlineLvl w:val="0"/>
        <w:rPr>
          <w:rFonts w:ascii="方正黑体_GBK" w:eastAsia="方正黑体_GBK"/>
          <w:sz w:val="44"/>
          <w:szCs w:val="28"/>
        </w:rPr>
      </w:pPr>
      <w:r>
        <w:rPr>
          <w:rFonts w:hint="eastAsia" w:ascii="方正黑体_GBK" w:eastAsia="方正黑体_GBK"/>
          <w:sz w:val="44"/>
          <w:szCs w:val="28"/>
        </w:rPr>
        <w:t>重庆市合川区人民医院</w:t>
      </w:r>
    </w:p>
    <w:p>
      <w:pPr>
        <w:spacing w:line="480" w:lineRule="exact"/>
        <w:jc w:val="center"/>
        <w:outlineLvl w:val="0"/>
        <w:rPr>
          <w:rFonts w:ascii="方正黑体_GBK" w:eastAsia="方正黑体_GBK"/>
          <w:sz w:val="44"/>
          <w:szCs w:val="28"/>
        </w:rPr>
      </w:pPr>
      <w:r>
        <w:rPr>
          <w:rFonts w:hint="eastAsia" w:ascii="方正黑体_GBK" w:hAnsi="宋体" w:eastAsia="方正黑体_GBK"/>
          <w:sz w:val="48"/>
          <w:szCs w:val="32"/>
        </w:rPr>
        <w:t>二〇二</w:t>
      </w:r>
      <w:r>
        <w:rPr>
          <w:rFonts w:hint="eastAsia" w:ascii="方正黑体_GBK" w:hAnsi="宋体" w:eastAsia="方正黑体_GBK"/>
          <w:sz w:val="48"/>
          <w:szCs w:val="32"/>
          <w:lang w:val="en-US" w:eastAsia="zh-CN"/>
        </w:rPr>
        <w:t>二</w:t>
      </w:r>
      <w:r>
        <w:rPr>
          <w:rFonts w:hint="eastAsia" w:ascii="方正黑体_GBK" w:hAnsi="宋体" w:eastAsia="方正黑体_GBK"/>
          <w:sz w:val="48"/>
          <w:szCs w:val="32"/>
        </w:rPr>
        <w:t>年</w:t>
      </w:r>
      <w:r>
        <w:rPr>
          <w:rFonts w:hint="eastAsia" w:ascii="方正黑体_GBK" w:hAnsi="宋体" w:eastAsia="方正黑体_GBK"/>
          <w:sz w:val="48"/>
          <w:szCs w:val="32"/>
          <w:lang w:val="en-US" w:eastAsia="zh-CN"/>
        </w:rPr>
        <w:t>四</w:t>
      </w:r>
      <w:r>
        <w:rPr>
          <w:rFonts w:hint="eastAsia" w:ascii="方正黑体_GBK" w:hAnsi="宋体" w:eastAsia="方正黑体_GBK"/>
          <w:sz w:val="48"/>
          <w:szCs w:val="32"/>
        </w:rPr>
        <w:t>月</w:t>
      </w:r>
    </w:p>
    <w:p/>
    <w:p/>
    <w:p/>
    <w:p>
      <w:pPr>
        <w:spacing w:line="480" w:lineRule="exact"/>
        <w:jc w:val="center"/>
        <w:outlineLvl w:val="0"/>
        <w:rPr>
          <w:rFonts w:hint="eastAsia" w:ascii="方正黑体_GBK" w:eastAsia="方正黑体_GBK"/>
          <w:sz w:val="44"/>
          <w:szCs w:val="28"/>
        </w:rPr>
      </w:pPr>
    </w:p>
    <w:p>
      <w:pPr>
        <w:pStyle w:val="2"/>
        <w:spacing w:line="360" w:lineRule="auto"/>
        <w:jc w:val="center"/>
        <w:rPr>
          <w:rFonts w:ascii="方正小标宋_GBK" w:hAnsi="宋体" w:eastAsia="方正小标宋_GBK"/>
          <w:b w:val="0"/>
          <w:szCs w:val="30"/>
        </w:rPr>
      </w:pPr>
      <w:bookmarkStart w:id="0" w:name="_Toc12789052"/>
      <w:bookmarkStart w:id="1" w:name="_Toc480201018"/>
      <w:bookmarkStart w:id="2" w:name="_Toc11641050"/>
      <w:r>
        <w:rPr>
          <w:rFonts w:hint="eastAsia" w:ascii="方正小标宋_GBK" w:hAnsi="宋体" w:eastAsia="方正小标宋_GBK"/>
          <w:b w:val="0"/>
          <w:sz w:val="36"/>
          <w:szCs w:val="30"/>
        </w:rPr>
        <w:t>第一篇  采购邀请书</w:t>
      </w:r>
      <w:bookmarkEnd w:id="0"/>
      <w:bookmarkEnd w:id="1"/>
      <w:bookmarkEnd w:id="2"/>
    </w:p>
    <w:p>
      <w:pPr>
        <w:snapToGrid w:val="0"/>
        <w:spacing w:line="400" w:lineRule="exact"/>
        <w:ind w:firstLine="560" w:firstLineChars="200"/>
        <w:rPr>
          <w:rFonts w:ascii="方正仿宋_GBK" w:hAnsi="方正仿宋_GBK" w:eastAsia="方正仿宋_GBK" w:cs="方正仿宋_GBK"/>
          <w:szCs w:val="28"/>
          <w:u w:val="single"/>
        </w:rPr>
      </w:pPr>
      <w:r>
        <w:rPr>
          <w:rFonts w:hint="eastAsia" w:ascii="方正仿宋_GBK" w:hAnsi="方正仿宋_GBK" w:eastAsia="方正仿宋_GBK" w:cs="方正仿宋_GBK"/>
          <w:szCs w:val="28"/>
          <w:u w:val="single"/>
        </w:rPr>
        <w:t>重庆市合川区人民医院拟对</w:t>
      </w:r>
      <w:r>
        <w:rPr>
          <w:rFonts w:hint="eastAsia" w:ascii="方正仿宋_GBK" w:hAnsi="方正仿宋_GBK" w:eastAsia="方正仿宋_GBK" w:cs="方正仿宋_GBK"/>
          <w:szCs w:val="28"/>
          <w:u w:val="single"/>
          <w:lang w:val="en-US" w:eastAsia="zh-CN"/>
        </w:rPr>
        <w:t>职工食堂食材配送项目</w:t>
      </w:r>
      <w:r>
        <w:rPr>
          <w:rFonts w:hint="eastAsia" w:ascii="方正仿宋_GBK" w:hAnsi="方正仿宋_GBK" w:eastAsia="方正仿宋_GBK" w:cs="方正仿宋_GBK"/>
          <w:szCs w:val="28"/>
          <w:u w:val="single"/>
        </w:rPr>
        <w:t>进行竞争性谈判采购。欢迎有资格的供应商前来参与谈判。</w:t>
      </w:r>
    </w:p>
    <w:p>
      <w:pPr>
        <w:pStyle w:val="3"/>
        <w:numPr>
          <w:ilvl w:val="0"/>
          <w:numId w:val="1"/>
        </w:numPr>
        <w:spacing w:line="400" w:lineRule="exact"/>
        <w:rPr>
          <w:rFonts w:hint="eastAsia" w:ascii="方正仿宋_GBK" w:hAnsi="方正仿宋_GBK" w:eastAsia="方正仿宋_GBK" w:cs="方正仿宋_GBK"/>
          <w:sz w:val="28"/>
          <w:szCs w:val="28"/>
        </w:rPr>
      </w:pPr>
      <w:bookmarkStart w:id="3" w:name="_Toc480201019"/>
      <w:bookmarkStart w:id="4" w:name="_Toc317775175"/>
      <w:bookmarkStart w:id="5" w:name="_Toc313893526"/>
      <w:r>
        <w:rPr>
          <w:rFonts w:hint="eastAsia" w:ascii="方正仿宋_GBK" w:hAnsi="方正仿宋_GBK" w:eastAsia="方正仿宋_GBK" w:cs="方正仿宋_GBK"/>
          <w:sz w:val="28"/>
          <w:szCs w:val="28"/>
        </w:rPr>
        <w:t>竞争性谈判内容</w:t>
      </w:r>
      <w:bookmarkEnd w:id="3"/>
      <w:bookmarkEnd w:id="4"/>
      <w:bookmarkEnd w:id="5"/>
    </w:p>
    <w:tbl>
      <w:tblPr>
        <w:tblW w:w="8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3"/>
        <w:gridCol w:w="1409"/>
        <w:gridCol w:w="2845"/>
        <w:gridCol w:w="3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3" w:type="dxa"/>
            <w:vAlign w:val="top"/>
          </w:tcPr>
          <w:p>
            <w:pPr>
              <w:rPr>
                <w:rFonts w:hint="eastAsia" w:ascii="宋体" w:hAnsi="宋体" w:eastAsia="宋体"/>
                <w:sz w:val="28"/>
                <w:szCs w:val="28"/>
                <w:lang w:val="en-US" w:eastAsia="zh-CN"/>
              </w:rPr>
            </w:pPr>
            <w:r>
              <w:rPr>
                <w:rFonts w:hint="eastAsia" w:ascii="宋体" w:hAnsi="宋体"/>
                <w:sz w:val="28"/>
                <w:szCs w:val="28"/>
                <w:lang w:val="en-US" w:eastAsia="zh-CN"/>
              </w:rPr>
              <w:t>分包</w:t>
            </w:r>
          </w:p>
        </w:tc>
        <w:tc>
          <w:tcPr>
            <w:tcW w:w="1409" w:type="dxa"/>
            <w:vAlign w:val="top"/>
          </w:tcPr>
          <w:p>
            <w:pPr>
              <w:rPr>
                <w:rFonts w:ascii="宋体" w:hAnsi="宋体"/>
                <w:sz w:val="28"/>
                <w:szCs w:val="28"/>
              </w:rPr>
            </w:pPr>
            <w:r>
              <w:rPr>
                <w:rFonts w:hint="eastAsia" w:ascii="宋体" w:hAnsi="宋体"/>
                <w:sz w:val="28"/>
                <w:szCs w:val="28"/>
              </w:rPr>
              <w:t>项目内容</w:t>
            </w:r>
          </w:p>
        </w:tc>
        <w:tc>
          <w:tcPr>
            <w:tcW w:w="2845" w:type="dxa"/>
            <w:vAlign w:val="top"/>
          </w:tcPr>
          <w:p>
            <w:pPr>
              <w:rPr>
                <w:rFonts w:ascii="宋体" w:hAnsi="宋体"/>
                <w:sz w:val="28"/>
                <w:szCs w:val="28"/>
              </w:rPr>
            </w:pPr>
            <w:r>
              <w:rPr>
                <w:rFonts w:hint="eastAsia" w:ascii="宋体" w:hAnsi="宋体"/>
                <w:sz w:val="28"/>
                <w:szCs w:val="28"/>
              </w:rPr>
              <w:t>采购内容</w:t>
            </w:r>
          </w:p>
        </w:tc>
        <w:tc>
          <w:tcPr>
            <w:tcW w:w="3370" w:type="dxa"/>
            <w:vAlign w:val="top"/>
          </w:tcPr>
          <w:p>
            <w:pPr>
              <w:rPr>
                <w:rFonts w:ascii="宋体" w:hAnsi="宋体"/>
                <w:sz w:val="28"/>
                <w:szCs w:val="28"/>
              </w:rPr>
            </w:pPr>
            <w:r>
              <w:rPr>
                <w:rFonts w:hint="eastAsia" w:ascii="宋体" w:hAnsi="宋体"/>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3" w:type="dxa"/>
            <w:vAlign w:val="top"/>
          </w:tcPr>
          <w:p>
            <w:pPr>
              <w:rPr>
                <w:rFonts w:hint="eastAsia" w:ascii="宋体" w:hAnsi="宋体" w:eastAsia="宋体"/>
                <w:sz w:val="28"/>
                <w:szCs w:val="28"/>
                <w:lang w:val="en-US" w:eastAsia="zh-CN"/>
              </w:rPr>
            </w:pPr>
            <w:r>
              <w:rPr>
                <w:rFonts w:hint="eastAsia" w:ascii="宋体" w:hAnsi="宋体"/>
                <w:sz w:val="28"/>
                <w:szCs w:val="28"/>
                <w:lang w:val="en-US" w:eastAsia="zh-CN"/>
              </w:rPr>
              <w:t>包3</w:t>
            </w:r>
          </w:p>
        </w:tc>
        <w:tc>
          <w:tcPr>
            <w:tcW w:w="1409" w:type="dxa"/>
            <w:vAlign w:val="top"/>
          </w:tcPr>
          <w:p>
            <w:pPr>
              <w:rPr>
                <w:rFonts w:ascii="宋体" w:hAnsi="宋体"/>
                <w:sz w:val="28"/>
                <w:szCs w:val="28"/>
              </w:rPr>
            </w:pPr>
            <w:r>
              <w:rPr>
                <w:rFonts w:hint="eastAsia" w:ascii="宋体" w:hAnsi="宋体"/>
                <w:sz w:val="28"/>
                <w:szCs w:val="28"/>
              </w:rPr>
              <w:t>遴选职工食堂粉、面配送商资格采购</w:t>
            </w:r>
          </w:p>
        </w:tc>
        <w:tc>
          <w:tcPr>
            <w:tcW w:w="2845" w:type="dxa"/>
            <w:vAlign w:val="top"/>
          </w:tcPr>
          <w:p>
            <w:pPr>
              <w:rPr>
                <w:rFonts w:ascii="宋体" w:hAnsi="宋体"/>
                <w:sz w:val="28"/>
                <w:szCs w:val="28"/>
              </w:rPr>
            </w:pPr>
            <w:r>
              <w:rPr>
                <w:rFonts w:hint="eastAsia" w:ascii="宋体" w:hAnsi="宋体"/>
                <w:sz w:val="28"/>
                <w:szCs w:val="28"/>
              </w:rPr>
              <w:t>见采购内容</w:t>
            </w:r>
          </w:p>
        </w:tc>
        <w:tc>
          <w:tcPr>
            <w:tcW w:w="3370" w:type="dxa"/>
            <w:vAlign w:val="top"/>
          </w:tcPr>
          <w:p>
            <w:pPr>
              <w:rPr>
                <w:rFonts w:ascii="宋体" w:hAnsi="宋体"/>
                <w:sz w:val="28"/>
                <w:szCs w:val="28"/>
              </w:rPr>
            </w:pPr>
            <w:r>
              <w:rPr>
                <w:rFonts w:hint="eastAsia" w:ascii="宋体" w:hAnsi="宋体" w:cs="方正仿宋_GBK"/>
                <w:color w:val="000000"/>
                <w:kern w:val="0"/>
                <w:sz w:val="28"/>
                <w:szCs w:val="28"/>
              </w:rPr>
              <w:t>本项目所采购货物必须为中国大陆境内生产</w:t>
            </w:r>
          </w:p>
        </w:tc>
      </w:tr>
    </w:tbl>
    <w:p>
      <w:pPr>
        <w:numPr>
          <w:numId w:val="0"/>
        </w:numPr>
      </w:pPr>
    </w:p>
    <w:p>
      <w:pPr>
        <w:pStyle w:val="3"/>
        <w:spacing w:line="400" w:lineRule="exact"/>
        <w:rPr>
          <w:rFonts w:ascii="方正仿宋_GBK" w:hAnsi="方正仿宋_GBK" w:eastAsia="方正仿宋_GBK" w:cs="方正仿宋_GBK"/>
          <w:sz w:val="28"/>
          <w:szCs w:val="28"/>
        </w:rPr>
      </w:pPr>
      <w:bookmarkStart w:id="6" w:name="_Toc480201020"/>
      <w:bookmarkStart w:id="7" w:name="_Toc373860293"/>
      <w:bookmarkStart w:id="8" w:name="_Toc317775178"/>
      <w:r>
        <w:rPr>
          <w:rFonts w:hint="eastAsia" w:ascii="方正仿宋_GBK" w:hAnsi="方正仿宋_GBK" w:eastAsia="方正仿宋_GBK" w:cs="方正仿宋_GBK"/>
          <w:sz w:val="28"/>
          <w:szCs w:val="28"/>
        </w:rPr>
        <w:t>二、资金来源</w:t>
      </w:r>
      <w:bookmarkEnd w:id="6"/>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自筹资金。</w:t>
      </w:r>
    </w:p>
    <w:p>
      <w:pPr>
        <w:pStyle w:val="3"/>
        <w:spacing w:line="400" w:lineRule="exact"/>
        <w:rPr>
          <w:rFonts w:ascii="方正仿宋_GBK" w:hAnsi="方正仿宋_GBK" w:eastAsia="方正仿宋_GBK" w:cs="方正仿宋_GBK"/>
          <w:sz w:val="28"/>
          <w:szCs w:val="28"/>
        </w:rPr>
      </w:pPr>
      <w:bookmarkStart w:id="9" w:name="_Toc480201021"/>
      <w:r>
        <w:rPr>
          <w:rFonts w:hint="eastAsia" w:ascii="方正仿宋_GBK" w:hAnsi="方正仿宋_GBK" w:eastAsia="方正仿宋_GBK" w:cs="方正仿宋_GBK"/>
          <w:sz w:val="28"/>
          <w:szCs w:val="28"/>
        </w:rPr>
        <w:t>三、供应商资格条件</w:t>
      </w:r>
      <w:bookmarkEnd w:id="9"/>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供应商是指向采购人提供服务或者货物的法人、其他组织或者自然人。合格的供应商应首先符合政府采购法第二十二条规定的基本资格条件，同时符合根据该项目特殊要求设置的特定资格条件。</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不接受联合体竞标。</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（一）基本资格条件</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1、具有独立承担民事责任的能力；</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2、具有良好的商业信誉和健全的财务会计制度；</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3、具有履行合同所必需的设备和专业技术能力；</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4、有依法缴纳税收和社会保障资金的良好记录；</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5、参加政府采购活动前三年内，在经营活动中没有重大违法记录；</w:t>
      </w:r>
    </w:p>
    <w:p>
      <w:pPr>
        <w:spacing w:line="48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6、法律、行政法规规定的其他条件。</w:t>
      </w:r>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lang w:val="en-US" w:eastAsia="zh-CN"/>
        </w:rPr>
        <w:t xml:space="preserve">   </w:t>
      </w:r>
      <w:r>
        <w:rPr>
          <w:rFonts w:hint="eastAsia" w:ascii="方正仿宋_GBK" w:hAnsi="方正仿宋_GBK" w:eastAsia="方正仿宋_GBK" w:cs="方正仿宋_GBK"/>
          <w:szCs w:val="28"/>
        </w:rPr>
        <w:t>（二）特定资格条件</w:t>
      </w:r>
      <w:bookmarkStart w:id="10" w:name="_Toc480201022"/>
    </w:p>
    <w:p>
      <w:pPr>
        <w:spacing w:line="480" w:lineRule="exact"/>
        <w:ind w:firstLine="560" w:firstLineChars="200"/>
        <w:rPr>
          <w:rFonts w:hint="eastAsia" w:ascii="方正仿宋_GBK" w:hAnsi="方正仿宋_GBK" w:eastAsia="方正仿宋_GBK" w:cs="方正仿宋_GBK"/>
          <w:color w:val="FF0000"/>
          <w:szCs w:val="28"/>
          <w:lang w:val="en-US" w:eastAsia="zh-CN"/>
        </w:rPr>
      </w:pPr>
      <w:r>
        <w:rPr>
          <w:rFonts w:hint="eastAsia" w:ascii="方正仿宋_GBK" w:hAnsi="方正仿宋_GBK" w:eastAsia="方正仿宋_GBK" w:cs="方正仿宋_GBK"/>
          <w:color w:val="FF0000"/>
          <w:szCs w:val="28"/>
          <w:lang w:val="en-US" w:eastAsia="zh-CN"/>
        </w:rPr>
        <w:t>具备合法有效的工商营业执照，证件副本原件（备查）和复印件（加盖章），所有证件不允许采用挂靠等其它方式取得,其经营范围须包含所投产品。</w:t>
      </w:r>
    </w:p>
    <w:p>
      <w:pPr>
        <w:spacing w:line="480" w:lineRule="exact"/>
        <w:ind w:firstLine="560" w:firstLineChars="200"/>
        <w:rPr>
          <w:rFonts w:hint="eastAsia" w:ascii="方正仿宋_GBK" w:hAnsi="方正仿宋_GBK" w:eastAsia="方正仿宋_GBK" w:cs="方正仿宋_GBK"/>
          <w:szCs w:val="28"/>
          <w:lang w:val="en-US" w:eastAsia="zh-CN"/>
        </w:rPr>
      </w:pPr>
      <w:r>
        <w:rPr>
          <w:rFonts w:hint="eastAsia" w:ascii="方正仿宋_GBK" w:hAnsi="方正仿宋_GBK" w:eastAsia="方正仿宋_GBK" w:cs="方正仿宋_GBK"/>
          <w:szCs w:val="28"/>
          <w:lang w:val="en-US" w:eastAsia="zh-CN"/>
        </w:rPr>
        <w:t>备注：“批发、零售”具备其中之一即可。</w:t>
      </w:r>
    </w:p>
    <w:p>
      <w:pPr>
        <w:pStyle w:val="3"/>
        <w:spacing w:line="40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四、谈判有关说明</w:t>
      </w:r>
      <w:bookmarkEnd w:id="7"/>
      <w:bookmarkEnd w:id="10"/>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（一）为确认投标人身份合法有效，由法定代表人参与投标的，需持本人身份证原件（复印件加盖投标单位鲜章）和法定代表人身份证明书（格式）原件，报名时与响应文件同时递交。</w:t>
      </w:r>
    </w:p>
    <w:p>
      <w:pPr>
        <w:spacing w:line="480" w:lineRule="exact"/>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pPr>
        <w:spacing w:line="480" w:lineRule="exact"/>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 xml:space="preserve"> 注：以上要求的资料须在现场报名时单独提交一份进行验核和收取，未按以上要求执行的投标人将视为以他人名义投标，其响应文件拒绝接收。</w:t>
      </w:r>
    </w:p>
    <w:p>
      <w:pPr>
        <w:spacing w:line="480" w:lineRule="exact"/>
        <w:rPr>
          <w:rFonts w:ascii="方正仿宋_GBK" w:hAnsi="方正仿宋_GBK" w:eastAsia="方正仿宋_GBK" w:cs="方正仿宋_GBK"/>
          <w:szCs w:val="28"/>
        </w:rPr>
      </w:pP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三</w:t>
      </w:r>
      <w:r>
        <w:rPr>
          <w:rFonts w:hint="eastAsia" w:ascii="方正仿宋_GBK" w:hAnsi="方正仿宋_GBK" w:eastAsia="方正仿宋_GBK" w:cs="方正仿宋_GBK"/>
          <w:szCs w:val="28"/>
        </w:rPr>
        <w:t>）凡有意参加谈判的供应商，请在“行采家”平台（http://www.gec123.com）或合川区人民医院官网（</w:t>
      </w:r>
      <w:r>
        <w:rPr>
          <w:rFonts w:ascii="方正仿宋_GBK" w:hAnsi="方正仿宋_GBK" w:eastAsia="方正仿宋_GBK" w:cs="方正仿宋_GBK"/>
          <w:szCs w:val="28"/>
        </w:rPr>
        <w:t>http://www.hcrmyy.cn</w:t>
      </w:r>
      <w:r>
        <w:rPr>
          <w:rFonts w:hint="eastAsia" w:ascii="方正仿宋_GBK" w:hAnsi="方正仿宋_GBK" w:eastAsia="方正仿宋_GBK" w:cs="方正仿宋_GBK"/>
          <w:szCs w:val="28"/>
        </w:rPr>
        <w:t>）上下载本项目谈判文件以及图纸、补遗等谈判前公布的所有项目资料，无论供应商领取或下载与否，均视为已知晓所有谈判内容。本项目不接受联合体竞标。</w:t>
      </w:r>
    </w:p>
    <w:p>
      <w:pPr>
        <w:numPr>
          <w:numId w:val="0"/>
        </w:numPr>
        <w:rPr>
          <w:rFonts w:ascii="方正仿宋_GBK" w:hAnsi="方正仿宋_GBK" w:eastAsia="方正仿宋_GBK" w:cs="方正仿宋_GBK"/>
          <w:szCs w:val="28"/>
        </w:rPr>
      </w:pP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四</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rPr>
        <w:t>供应商须满足以下二种要件，其响应文件才被接受：</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1、按时递交</w:t>
      </w:r>
      <w:r>
        <w:rPr>
          <w:rFonts w:hint="eastAsia" w:ascii="方正仿宋_GBK" w:hAnsi="方正仿宋_GBK" w:eastAsia="方正仿宋_GBK" w:cs="方正仿宋_GBK"/>
          <w:szCs w:val="28"/>
          <w:lang w:val="en-US" w:eastAsia="zh-CN"/>
        </w:rPr>
        <w:t>投标保证金</w:t>
      </w:r>
      <w:r>
        <w:rPr>
          <w:rFonts w:hint="eastAsia" w:ascii="方正仿宋_GBK" w:hAnsi="方正仿宋_GBK" w:eastAsia="方正仿宋_GBK" w:cs="方正仿宋_GBK"/>
          <w:szCs w:val="28"/>
        </w:rPr>
        <w:t>；</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2、按时报名签到</w:t>
      </w:r>
      <w:r>
        <w:rPr>
          <w:rFonts w:hint="eastAsia" w:ascii="方正仿宋_GBK" w:hAnsi="方正仿宋_GBK" w:eastAsia="方正仿宋_GBK" w:cs="方正仿宋_GBK"/>
          <w:szCs w:val="28"/>
          <w:lang w:val="en-US" w:eastAsia="zh-CN"/>
        </w:rPr>
        <w:t>并提交投标文件</w:t>
      </w:r>
      <w:r>
        <w:rPr>
          <w:rFonts w:hint="eastAsia" w:ascii="方正仿宋_GBK" w:hAnsi="方正仿宋_GBK" w:eastAsia="方正仿宋_GBK" w:cs="方正仿宋_GBK"/>
          <w:szCs w:val="28"/>
        </w:rPr>
        <w:t>。</w:t>
      </w:r>
    </w:p>
    <w:p>
      <w:pPr>
        <w:spacing w:line="480" w:lineRule="exact"/>
        <w:ind w:left="280" w:hanging="280" w:hangingChars="100"/>
        <w:rPr>
          <w:rFonts w:ascii="方正仿宋_GBK" w:hAnsi="方正仿宋_GBK" w:eastAsia="方正仿宋_GBK" w:cs="方正仿宋_GBK"/>
          <w:szCs w:val="28"/>
        </w:rPr>
      </w:pPr>
      <w:r>
        <w:rPr>
          <w:rFonts w:hint="eastAsia" w:ascii="方正仿宋_GBK" w:hAnsi="方正仿宋_GBK" w:eastAsia="方正仿宋_GBK" w:cs="方正仿宋_GBK"/>
          <w:szCs w:val="28"/>
        </w:rPr>
        <w:t>（</w:t>
      </w:r>
      <w:r>
        <w:rPr>
          <w:rFonts w:hint="eastAsia" w:ascii="方正仿宋_GBK" w:hAnsi="方正仿宋_GBK" w:eastAsia="方正仿宋_GBK" w:cs="方正仿宋_GBK"/>
          <w:szCs w:val="28"/>
          <w:lang w:val="en-US" w:eastAsia="zh-CN"/>
        </w:rPr>
        <w:t>五</w:t>
      </w:r>
      <w:r>
        <w:rPr>
          <w:rFonts w:hint="eastAsia" w:ascii="方正仿宋_GBK" w:hAnsi="方正仿宋_GBK" w:eastAsia="方正仿宋_GBK" w:cs="方正仿宋_GBK"/>
          <w:szCs w:val="28"/>
        </w:rPr>
        <w:t>）谈判地点：重庆市合川区人民医院招标办（重庆市合川区希尔安大道1366号行政楼</w:t>
      </w:r>
      <w:r>
        <w:rPr>
          <w:rFonts w:hint="eastAsia" w:ascii="方正仿宋_GBK" w:hAnsi="方正仿宋_GBK" w:eastAsia="方正仿宋_GBK" w:cs="方正仿宋_GBK"/>
          <w:szCs w:val="28"/>
          <w:lang w:val="en-US" w:eastAsia="zh-CN"/>
        </w:rPr>
        <w:t>一</w:t>
      </w:r>
      <w:r>
        <w:rPr>
          <w:rFonts w:hint="eastAsia" w:ascii="方正仿宋_GBK" w:hAnsi="方正仿宋_GBK" w:eastAsia="方正仿宋_GBK" w:cs="方正仿宋_GBK"/>
          <w:szCs w:val="28"/>
        </w:rPr>
        <w:t>楼）。</w:t>
      </w:r>
    </w:p>
    <w:bookmarkEnd w:id="8"/>
    <w:p>
      <w:pPr>
        <w:spacing w:line="480" w:lineRule="exact"/>
        <w:ind w:left="280" w:hanging="280" w:hangingChars="100"/>
        <w:rPr>
          <w:rFonts w:ascii="方正仿宋_GBK" w:hAnsi="方正仿宋_GBK" w:eastAsia="方正仿宋_GBK" w:cs="方正仿宋_GBK"/>
          <w:color w:val="auto"/>
          <w:szCs w:val="28"/>
        </w:rPr>
      </w:pPr>
      <w:bookmarkStart w:id="11" w:name="_Toc480201025"/>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六</w:t>
      </w:r>
      <w:r>
        <w:rPr>
          <w:rFonts w:hint="eastAsia" w:ascii="方正仿宋_GBK" w:hAnsi="方正仿宋_GBK" w:eastAsia="方正仿宋_GBK" w:cs="方正仿宋_GBK"/>
          <w:color w:val="auto"/>
          <w:szCs w:val="28"/>
        </w:rPr>
        <w:t>）提交响应文件开始时间：202</w:t>
      </w:r>
      <w:r>
        <w:rPr>
          <w:rFonts w:hint="eastAsia" w:ascii="方正仿宋_GBK" w:hAnsi="方正仿宋_GBK" w:eastAsia="方正仿宋_GBK" w:cs="方正仿宋_GBK"/>
          <w:color w:val="auto"/>
          <w:szCs w:val="28"/>
          <w:lang w:val="en-US" w:eastAsia="zh-CN"/>
        </w:rPr>
        <w:t>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4</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25</w:t>
      </w:r>
      <w:r>
        <w:rPr>
          <w:rFonts w:hint="eastAsia" w:ascii="方正仿宋_GBK" w:hAnsi="方正仿宋_GBK" w:eastAsia="方正仿宋_GBK" w:cs="方正仿宋_GBK"/>
          <w:color w:val="auto"/>
          <w:szCs w:val="28"/>
        </w:rPr>
        <w:t>日北京时间09:00。</w:t>
      </w:r>
    </w:p>
    <w:p>
      <w:pPr>
        <w:spacing w:line="480" w:lineRule="exact"/>
        <w:ind w:left="280" w:hanging="280" w:hangingChars="10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七</w:t>
      </w:r>
      <w:r>
        <w:rPr>
          <w:rFonts w:hint="eastAsia" w:ascii="方正仿宋_GBK" w:hAnsi="方正仿宋_GBK" w:eastAsia="方正仿宋_GBK" w:cs="方正仿宋_GBK"/>
          <w:color w:val="auto"/>
          <w:szCs w:val="28"/>
        </w:rPr>
        <w:t>）提交响应文件截止时间：2</w:t>
      </w:r>
      <w:r>
        <w:rPr>
          <w:rFonts w:hint="eastAsia" w:ascii="方正仿宋_GBK" w:hAnsi="方正仿宋_GBK" w:eastAsia="方正仿宋_GBK" w:cs="方正仿宋_GBK"/>
          <w:color w:val="auto"/>
          <w:szCs w:val="28"/>
          <w:lang w:val="en-US" w:eastAsia="zh-CN"/>
        </w:rPr>
        <w:t>022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4</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25</w:t>
      </w:r>
      <w:r>
        <w:rPr>
          <w:rFonts w:hint="eastAsia" w:ascii="方正仿宋_GBK" w:hAnsi="方正仿宋_GBK" w:eastAsia="方正仿宋_GBK" w:cs="方正仿宋_GBK"/>
          <w:color w:val="auto"/>
          <w:szCs w:val="28"/>
        </w:rPr>
        <w:t>日北京时间09:30</w:t>
      </w:r>
    </w:p>
    <w:p>
      <w:pPr>
        <w:spacing w:line="480" w:lineRule="exact"/>
        <w:ind w:left="280" w:hanging="280" w:hangingChars="10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八</w:t>
      </w:r>
      <w:r>
        <w:rPr>
          <w:rFonts w:hint="eastAsia" w:ascii="方正仿宋_GBK" w:hAnsi="方正仿宋_GBK" w:eastAsia="方正仿宋_GBK" w:cs="方正仿宋_GBK"/>
          <w:color w:val="auto"/>
          <w:szCs w:val="28"/>
        </w:rPr>
        <w:t>）谈判开始时间：202</w:t>
      </w:r>
      <w:r>
        <w:rPr>
          <w:rFonts w:hint="eastAsia" w:ascii="方正仿宋_GBK" w:hAnsi="方正仿宋_GBK" w:eastAsia="方正仿宋_GBK" w:cs="方正仿宋_GBK"/>
          <w:color w:val="auto"/>
          <w:szCs w:val="28"/>
          <w:lang w:val="en-US" w:eastAsia="zh-CN"/>
        </w:rPr>
        <w:t>2</w:t>
      </w:r>
      <w:r>
        <w:rPr>
          <w:rFonts w:hint="eastAsia" w:ascii="方正仿宋_GBK" w:hAnsi="方正仿宋_GBK" w:eastAsia="方正仿宋_GBK" w:cs="方正仿宋_GBK"/>
          <w:color w:val="auto"/>
          <w:szCs w:val="28"/>
        </w:rPr>
        <w:t>年</w:t>
      </w:r>
      <w:r>
        <w:rPr>
          <w:rFonts w:hint="eastAsia" w:ascii="方正仿宋_GBK" w:hAnsi="方正仿宋_GBK" w:eastAsia="方正仿宋_GBK" w:cs="方正仿宋_GBK"/>
          <w:color w:val="auto"/>
          <w:szCs w:val="28"/>
          <w:lang w:val="en-US" w:eastAsia="zh-CN"/>
        </w:rPr>
        <w:t>4</w:t>
      </w:r>
      <w:r>
        <w:rPr>
          <w:rFonts w:hint="eastAsia" w:ascii="方正仿宋_GBK" w:hAnsi="方正仿宋_GBK" w:eastAsia="方正仿宋_GBK" w:cs="方正仿宋_GBK"/>
          <w:color w:val="auto"/>
          <w:szCs w:val="28"/>
        </w:rPr>
        <w:t>月</w:t>
      </w:r>
      <w:r>
        <w:rPr>
          <w:rFonts w:hint="eastAsia" w:ascii="方正仿宋_GBK" w:hAnsi="方正仿宋_GBK" w:eastAsia="方正仿宋_GBK" w:cs="方正仿宋_GBK"/>
          <w:color w:val="auto"/>
          <w:szCs w:val="28"/>
          <w:lang w:val="en-US" w:eastAsia="zh-CN"/>
        </w:rPr>
        <w:t>25</w:t>
      </w:r>
      <w:r>
        <w:rPr>
          <w:rFonts w:hint="eastAsia" w:ascii="方正仿宋_GBK" w:hAnsi="方正仿宋_GBK" w:eastAsia="方正仿宋_GBK" w:cs="方正仿宋_GBK"/>
          <w:color w:val="auto"/>
          <w:szCs w:val="28"/>
        </w:rPr>
        <w:t>日北京时间</w:t>
      </w:r>
      <w:r>
        <w:rPr>
          <w:rFonts w:hint="eastAsia" w:ascii="方正仿宋_GBK" w:hAnsi="方正仿宋_GBK" w:eastAsia="方正仿宋_GBK" w:cs="方正仿宋_GBK"/>
          <w:color w:val="auto"/>
          <w:szCs w:val="28"/>
          <w:lang w:val="en-US" w:eastAsia="zh-CN"/>
        </w:rPr>
        <w:t>9</w:t>
      </w: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3</w:t>
      </w:r>
      <w:r>
        <w:rPr>
          <w:rFonts w:hint="eastAsia" w:ascii="方正仿宋_GBK" w:hAnsi="方正仿宋_GBK" w:eastAsia="方正仿宋_GBK" w:cs="方正仿宋_GBK"/>
          <w:color w:val="auto"/>
          <w:szCs w:val="28"/>
        </w:rPr>
        <w:t>0</w:t>
      </w:r>
    </w:p>
    <w:p>
      <w:pPr>
        <w:spacing w:line="480" w:lineRule="exact"/>
        <w:ind w:left="280" w:hanging="280" w:hangingChars="100"/>
        <w:rPr>
          <w:rFonts w:hint="eastAsia" w:ascii="方正仿宋_GBK" w:hAnsi="方正仿宋_GBK" w:eastAsia="方正仿宋_GBK" w:cs="方正仿宋_GBK"/>
          <w:szCs w:val="28"/>
          <w:lang w:eastAsia="zh-CN"/>
        </w:rPr>
      </w:pP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九</w:t>
      </w:r>
      <w:r>
        <w:rPr>
          <w:rFonts w:hint="eastAsia" w:ascii="方正仿宋_GBK" w:hAnsi="方正仿宋_GBK" w:eastAsia="方正仿宋_GBK" w:cs="方正仿宋_GBK"/>
          <w:szCs w:val="28"/>
          <w:lang w:eastAsia="zh-CN"/>
        </w:rPr>
        <w:t>）</w:t>
      </w:r>
      <w:r>
        <w:rPr>
          <w:rFonts w:hint="eastAsia" w:ascii="方正仿宋_GBK" w:hAnsi="方正仿宋_GBK" w:eastAsia="方正仿宋_GBK" w:cs="方正仿宋_GBK"/>
          <w:szCs w:val="28"/>
          <w:lang w:val="en-US" w:eastAsia="zh-CN"/>
        </w:rPr>
        <w:t>本项目不接受联合体投标。</w:t>
      </w:r>
    </w:p>
    <w:p>
      <w:pPr>
        <w:spacing w:line="480" w:lineRule="exact"/>
        <w:ind w:left="281" w:hanging="281" w:hangingChars="100"/>
        <w:rPr>
          <w:rFonts w:ascii="方正仿宋_GBK" w:hAnsi="方正仿宋_GBK" w:eastAsia="方正仿宋_GBK" w:cs="方正仿宋_GBK"/>
          <w:b/>
          <w:szCs w:val="28"/>
        </w:rPr>
      </w:pPr>
      <w:r>
        <w:rPr>
          <w:rFonts w:hint="eastAsia" w:ascii="方正仿宋_GBK" w:hAnsi="方正仿宋_GBK" w:eastAsia="方正仿宋_GBK" w:cs="方正仿宋_GBK"/>
          <w:b/>
          <w:szCs w:val="28"/>
        </w:rPr>
        <w:t>五、联系方式</w:t>
      </w:r>
      <w:bookmarkEnd w:id="11"/>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招标联系人：尹老师</w:t>
      </w:r>
    </w:p>
    <w:p>
      <w:pPr>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电话：（023）42827145</w:t>
      </w:r>
    </w:p>
    <w:p>
      <w:pPr>
        <w:ind w:firstLine="560" w:firstLineChars="200"/>
        <w:rPr>
          <w:rFonts w:hint="eastAsia" w:ascii="方正仿宋_GBK" w:hAnsi="方正仿宋_GBK" w:eastAsia="方正仿宋_GBK" w:cs="方正仿宋_GBK"/>
          <w:szCs w:val="28"/>
        </w:rPr>
      </w:pPr>
      <w:r>
        <w:rPr>
          <w:rFonts w:hint="eastAsia" w:ascii="方正仿宋_GBK" w:hAnsi="方正仿宋_GBK" w:eastAsia="方正仿宋_GBK" w:cs="方正仿宋_GBK"/>
          <w:szCs w:val="28"/>
        </w:rPr>
        <w:t>地址：合川区希尔安大道1366号行政楼底楼</w:t>
      </w:r>
    </w:p>
    <w:p>
      <w:pPr>
        <w:spacing w:line="480" w:lineRule="exact"/>
        <w:ind w:firstLine="560" w:firstLineChars="200"/>
        <w:rPr>
          <w:rFonts w:ascii="方正仿宋_GBK" w:hAnsi="方正仿宋_GBK" w:eastAsia="方正仿宋_GBK" w:cs="方正仿宋_GBK"/>
          <w:color w:val="FF0000"/>
          <w:szCs w:val="28"/>
        </w:rPr>
      </w:pPr>
      <w:r>
        <w:rPr>
          <w:rFonts w:hint="eastAsia" w:ascii="方正仿宋_GBK" w:hAnsi="方正仿宋_GBK" w:eastAsia="方正仿宋_GBK" w:cs="方正仿宋_GBK"/>
          <w:color w:val="FF0000"/>
          <w:szCs w:val="28"/>
          <w:lang w:val="en-US" w:eastAsia="zh-CN"/>
        </w:rPr>
        <w:t>技术</w:t>
      </w:r>
      <w:r>
        <w:rPr>
          <w:rFonts w:hint="eastAsia" w:ascii="方正仿宋_GBK" w:hAnsi="方正仿宋_GBK" w:eastAsia="方正仿宋_GBK" w:cs="方正仿宋_GBK"/>
          <w:color w:val="FF0000"/>
          <w:szCs w:val="28"/>
        </w:rPr>
        <w:t xml:space="preserve">联系人： </w:t>
      </w:r>
      <w:r>
        <w:rPr>
          <w:rFonts w:hint="eastAsia" w:ascii="方正仿宋_GBK" w:hAnsi="方正仿宋_GBK" w:eastAsia="方正仿宋_GBK" w:cs="方正仿宋_GBK"/>
          <w:color w:val="FF0000"/>
          <w:szCs w:val="28"/>
          <w:lang w:val="en-US" w:eastAsia="zh-CN"/>
        </w:rPr>
        <w:t>张老师</w:t>
      </w:r>
    </w:p>
    <w:p>
      <w:pPr>
        <w:spacing w:line="480" w:lineRule="exact"/>
        <w:ind w:firstLine="560" w:firstLineChars="200"/>
        <w:rPr>
          <w:rFonts w:hint="eastAsia" w:ascii="方正仿宋_GBK" w:hAnsi="方正仿宋_GBK" w:eastAsia="方正仿宋_GBK" w:cs="方正仿宋_GBK"/>
          <w:color w:val="FF0000"/>
          <w:szCs w:val="28"/>
        </w:rPr>
      </w:pPr>
      <w:r>
        <w:rPr>
          <w:rFonts w:hint="eastAsia" w:ascii="方正仿宋_GBK" w:hAnsi="方正仿宋_GBK" w:eastAsia="方正仿宋_GBK" w:cs="方正仿宋_GBK"/>
          <w:color w:val="FF0000"/>
          <w:szCs w:val="28"/>
        </w:rPr>
        <w:t>电  话：</w:t>
      </w:r>
      <w:r>
        <w:rPr>
          <w:rFonts w:hint="eastAsia" w:ascii="方正仿宋_GBK" w:hAnsi="方正仿宋_GBK" w:eastAsia="方正仿宋_GBK" w:cs="方正仿宋_GBK"/>
          <w:color w:val="FF0000"/>
          <w:szCs w:val="28"/>
          <w:lang w:val="en-US" w:eastAsia="zh-CN"/>
        </w:rPr>
        <w:t>18996007235</w:t>
      </w:r>
    </w:p>
    <w:p>
      <w:pPr>
        <w:spacing w:line="480" w:lineRule="exact"/>
        <w:rPr>
          <w:rFonts w:ascii="方正仿宋_GBK" w:hAnsi="方正仿宋_GBK" w:eastAsia="方正仿宋_GBK" w:cs="方正仿宋_GBK"/>
          <w:b/>
          <w:szCs w:val="28"/>
        </w:rPr>
      </w:pPr>
      <w:r>
        <w:rPr>
          <w:rFonts w:hint="eastAsia" w:ascii="方正仿宋_GBK" w:hAnsi="方正仿宋_GBK" w:eastAsia="方正仿宋_GBK" w:cs="方正仿宋_GBK"/>
          <w:b/>
          <w:szCs w:val="28"/>
        </w:rPr>
        <w:t>六、保证金</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（一）投标保证金金额</w:t>
      </w:r>
    </w:p>
    <w:p>
      <w:pPr>
        <w:snapToGrid w:val="0"/>
        <w:spacing w:line="400" w:lineRule="exact"/>
        <w:ind w:firstLine="360"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本次</w:t>
      </w:r>
      <w:r>
        <w:rPr>
          <w:rFonts w:hint="eastAsia" w:ascii="方正仿宋_GBK" w:hAnsi="宋体" w:eastAsia="方正仿宋_GBK"/>
          <w:color w:val="FF0000"/>
          <w:sz w:val="24"/>
          <w:szCs w:val="24"/>
          <w:lang w:val="en-US" w:eastAsia="zh-CN"/>
        </w:rPr>
        <w:t>投标</w:t>
      </w:r>
      <w:r>
        <w:rPr>
          <w:rFonts w:hint="eastAsia" w:ascii="方正仿宋_GBK" w:hAnsi="宋体" w:eastAsia="方正仿宋_GBK"/>
          <w:color w:val="FF0000"/>
          <w:sz w:val="24"/>
          <w:szCs w:val="24"/>
        </w:rPr>
        <w:t>保证金为人民币</w:t>
      </w:r>
      <w:r>
        <w:rPr>
          <w:rFonts w:hint="eastAsia" w:ascii="方正仿宋_GBK" w:hAnsi="宋体" w:eastAsia="方正仿宋_GBK"/>
          <w:color w:val="FF0000"/>
          <w:sz w:val="24"/>
          <w:szCs w:val="24"/>
          <w:u w:val="single"/>
        </w:rPr>
        <w:t xml:space="preserve"> </w:t>
      </w:r>
      <w:r>
        <w:rPr>
          <w:rFonts w:hint="eastAsia" w:ascii="方正仿宋_GBK" w:hAnsi="宋体" w:eastAsia="方正仿宋_GBK"/>
          <w:color w:val="FF0000"/>
          <w:sz w:val="24"/>
          <w:szCs w:val="24"/>
          <w:u w:val="single"/>
          <w:lang w:val="en-US" w:eastAsia="zh-CN"/>
        </w:rPr>
        <w:t xml:space="preserve">1000 </w:t>
      </w:r>
      <w:r>
        <w:rPr>
          <w:rFonts w:hint="eastAsia" w:ascii="方正仿宋_GBK" w:hAnsi="宋体" w:eastAsia="方正仿宋_GBK"/>
          <w:color w:val="FF0000"/>
          <w:sz w:val="24"/>
          <w:szCs w:val="24"/>
        </w:rPr>
        <w:t>元</w:t>
      </w:r>
      <w:r>
        <w:rPr>
          <w:rFonts w:hint="eastAsia" w:ascii="方正仿宋_GBK" w:hAnsi="宋体" w:eastAsia="方正仿宋_GBK"/>
          <w:color w:val="FF0000"/>
          <w:sz w:val="24"/>
          <w:szCs w:val="24"/>
          <w:lang w:eastAsia="zh-CN"/>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（二）投标保证金交纳及退还</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1、交纳：</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保证金提交响应文件时交纳现金，请将</w:t>
      </w:r>
      <w:r>
        <w:rPr>
          <w:rFonts w:hint="eastAsia" w:ascii="方正仿宋_GBK" w:hAnsi="宋体" w:eastAsia="方正仿宋_GBK"/>
          <w:sz w:val="24"/>
          <w:szCs w:val="24"/>
          <w:lang w:val="en-US" w:eastAsia="zh-CN"/>
        </w:rPr>
        <w:t>投标</w:t>
      </w:r>
      <w:r>
        <w:rPr>
          <w:rFonts w:hint="eastAsia" w:ascii="方正仿宋_GBK" w:hAnsi="宋体" w:eastAsia="方正仿宋_GBK"/>
          <w:sz w:val="24"/>
          <w:szCs w:val="24"/>
        </w:rPr>
        <w:t>保证金用信封装好密封，在信封封面注明投标项目及公司名称，并在封口处加盖公司公章。</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2、退还：</w:t>
      </w:r>
      <w:r>
        <w:rPr>
          <w:rFonts w:hint="eastAsia" w:ascii="方正仿宋_GBK" w:hAnsi="宋体" w:eastAsia="方正仿宋_GBK"/>
          <w:sz w:val="24"/>
          <w:szCs w:val="24"/>
          <w:lang w:val="en-US" w:eastAsia="zh-CN"/>
        </w:rPr>
        <w:t>谈判</w:t>
      </w:r>
      <w:r>
        <w:rPr>
          <w:rFonts w:hint="eastAsia" w:ascii="方正仿宋_GBK" w:hAnsi="宋体" w:eastAsia="方正仿宋_GBK"/>
          <w:sz w:val="24"/>
          <w:szCs w:val="24"/>
        </w:rPr>
        <w:t>结束后未中标者当场给予退还，中标供应商</w:t>
      </w:r>
      <w:r>
        <w:rPr>
          <w:rFonts w:hint="eastAsia" w:ascii="方正仿宋_GBK" w:hAnsi="宋体" w:eastAsia="方正仿宋_GBK"/>
          <w:sz w:val="24"/>
          <w:szCs w:val="24"/>
          <w:lang w:val="en-US" w:eastAsia="zh-CN"/>
        </w:rPr>
        <w:t>的投标保证金直接转为履约保证金，合同期满后无违约情况，一次性无息退还。</w:t>
      </w:r>
    </w:p>
    <w:p>
      <w:pPr>
        <w:pStyle w:val="8"/>
        <w:spacing w:line="380" w:lineRule="exact"/>
        <w:ind w:left="241" w:leftChars="86" w:firstLine="482" w:firstLineChars="200"/>
        <w:rPr>
          <w:rFonts w:ascii="方正仿宋_GBK" w:hAnsi="宋体" w:eastAsia="方正仿宋_GBK"/>
          <w:bCs/>
          <w:sz w:val="24"/>
          <w:szCs w:val="24"/>
        </w:rPr>
      </w:pPr>
      <w:r>
        <w:rPr>
          <w:rFonts w:hint="eastAsia" w:ascii="方正仿宋_GBK" w:eastAsia="方正仿宋_GBK"/>
          <w:b/>
          <w:sz w:val="24"/>
          <w:szCs w:val="24"/>
        </w:rPr>
        <w:t xml:space="preserve">咨询电话：（023）42827145     </w:t>
      </w:r>
    </w:p>
    <w:p>
      <w:pPr>
        <w:spacing w:line="480" w:lineRule="exact"/>
        <w:ind w:firstLine="562" w:firstLineChars="200"/>
        <w:rPr>
          <w:rFonts w:ascii="方正仿宋_GBK" w:hAnsi="宋体" w:eastAsia="方正仿宋_GBK"/>
          <w:b/>
          <w:bCs/>
          <w:szCs w:val="28"/>
        </w:rPr>
      </w:pPr>
    </w:p>
    <w:p>
      <w:pPr>
        <w:spacing w:line="480" w:lineRule="exact"/>
        <w:ind w:firstLine="482" w:firstLineChars="200"/>
        <w:rPr>
          <w:rFonts w:ascii="方正仿宋_GBK" w:hAnsi="宋体" w:eastAsia="方正仿宋_GBK"/>
          <w:b/>
          <w:bCs/>
          <w:sz w:val="24"/>
          <w:szCs w:val="24"/>
        </w:rPr>
      </w:pPr>
      <w:bookmarkStart w:id="12" w:name="_Toc480201026"/>
    </w:p>
    <w:p>
      <w:pPr>
        <w:spacing w:line="480" w:lineRule="exact"/>
        <w:rPr>
          <w:rFonts w:ascii="方正小标宋_GBK" w:hAnsi="宋体" w:eastAsia="方正小标宋_GBK"/>
          <w:sz w:val="36"/>
          <w:szCs w:val="30"/>
        </w:rPr>
      </w:pPr>
    </w:p>
    <w:p>
      <w:pPr>
        <w:spacing w:line="480" w:lineRule="exact"/>
        <w:rPr>
          <w:rFonts w:ascii="方正小标宋_GBK" w:hAnsi="宋体" w:eastAsia="方正小标宋_GBK"/>
          <w:sz w:val="36"/>
          <w:szCs w:val="30"/>
        </w:rPr>
        <w:sectPr>
          <w:headerReference r:id="rId4" w:type="default"/>
          <w:footerReference r:id="rId5" w:type="default"/>
          <w:footerReference r:id="rId6" w:type="even"/>
          <w:pgSz w:w="11907" w:h="16840"/>
          <w:pgMar w:top="1134" w:right="1191" w:bottom="1134" w:left="1304" w:header="964" w:footer="992" w:gutter="0"/>
          <w:pgNumType w:fmt="numberInDash"/>
          <w:cols w:space="720" w:num="1"/>
          <w:docGrid w:linePitch="312" w:charSpace="0"/>
        </w:sectPr>
      </w:pPr>
    </w:p>
    <w:p>
      <w:pPr>
        <w:spacing w:line="480" w:lineRule="exact"/>
        <w:jc w:val="center"/>
        <w:rPr>
          <w:rFonts w:ascii="方正小标宋_GBK" w:hAnsi="宋体" w:eastAsia="方正小标宋_GBK"/>
          <w:sz w:val="30"/>
          <w:szCs w:val="30"/>
        </w:rPr>
      </w:pPr>
      <w:r>
        <w:rPr>
          <w:rFonts w:hint="eastAsia" w:ascii="方正小标宋_GBK" w:hAnsi="宋体" w:eastAsia="方正小标宋_GBK"/>
          <w:sz w:val="36"/>
          <w:szCs w:val="30"/>
        </w:rPr>
        <w:t xml:space="preserve">第二篇  </w:t>
      </w:r>
      <w:r>
        <w:rPr>
          <w:rFonts w:hint="eastAsia" w:ascii="方正小标宋_GBK" w:hAnsi="宋体" w:eastAsia="方正小标宋_GBK"/>
          <w:sz w:val="36"/>
          <w:szCs w:val="30"/>
          <w:lang w:val="en-US" w:eastAsia="zh-CN"/>
        </w:rPr>
        <w:t>谈判项目技术</w:t>
      </w:r>
      <w:r>
        <w:rPr>
          <w:rFonts w:hint="eastAsia" w:ascii="方正小标宋_GBK" w:hAnsi="宋体" w:eastAsia="方正小标宋_GBK"/>
          <w:sz w:val="36"/>
          <w:szCs w:val="30"/>
        </w:rPr>
        <w:t>需求</w:t>
      </w:r>
      <w:bookmarkEnd w:id="12"/>
      <w:bookmarkStart w:id="13" w:name="_Toc12789058"/>
    </w:p>
    <w:p>
      <w:pPr>
        <w:widowControl/>
        <w:shd w:val="clear" w:color="auto" w:fill="FFFFFF"/>
        <w:adjustRightInd w:val="0"/>
        <w:snapToGrid w:val="0"/>
        <w:spacing w:line="596" w:lineRule="exact"/>
        <w:ind w:firstLine="643" w:firstLineChars="200"/>
        <w:jc w:val="left"/>
        <w:rPr>
          <w:rFonts w:ascii="方正楷体_GBK" w:hAnsi="方正楷体_GBK" w:eastAsia="方正楷体_GBK" w:cs="方正楷体_GBK"/>
          <w:b/>
          <w:bCs/>
          <w:color w:val="000000"/>
          <w:sz w:val="32"/>
          <w:szCs w:val="32"/>
        </w:rPr>
      </w:pPr>
    </w:p>
    <w:p>
      <w:pPr>
        <w:pStyle w:val="3"/>
        <w:numPr>
          <w:ilvl w:val="0"/>
          <w:numId w:val="2"/>
        </w:numPr>
        <w:spacing w:before="0" w:after="0" w:line="360" w:lineRule="auto"/>
        <w:outlineLvl w:val="2"/>
        <w:rPr>
          <w:rFonts w:hint="eastAsia" w:ascii="方正仿宋_GBK" w:hAnsi="宋体" w:eastAsia="方正仿宋_GBK"/>
          <w:b w:val="0"/>
          <w:bCs/>
          <w:color w:val="000000"/>
          <w:sz w:val="24"/>
          <w:szCs w:val="24"/>
          <w:lang w:eastAsia="zh-CN"/>
        </w:rPr>
      </w:pPr>
      <w:bookmarkStart w:id="14" w:name="_Toc12933"/>
      <w:bookmarkStart w:id="15" w:name="_Toc480201027"/>
      <w:r>
        <w:rPr>
          <w:rFonts w:hint="eastAsia" w:ascii="方正仿宋_GBK" w:hAnsi="宋体" w:eastAsia="方正仿宋_GBK"/>
          <w:b w:val="0"/>
          <w:bCs/>
          <w:color w:val="000000"/>
          <w:sz w:val="24"/>
          <w:szCs w:val="24"/>
        </w:rPr>
        <w:t>《</w:t>
      </w:r>
      <w:r>
        <w:rPr>
          <w:rFonts w:hint="eastAsia" w:ascii="方正仿宋_GBK" w:hAnsi="宋体" w:eastAsia="方正仿宋_GBK"/>
          <w:b w:val="0"/>
          <w:bCs/>
          <w:color w:val="000000"/>
          <w:sz w:val="24"/>
          <w:szCs w:val="24"/>
          <w:lang w:val="en-US" w:eastAsia="zh-CN"/>
        </w:rPr>
        <w:t>2022年度合川区人民医院职工食堂食材配送服务</w:t>
      </w:r>
      <w:r>
        <w:rPr>
          <w:rFonts w:hint="eastAsia" w:ascii="方正仿宋_GBK" w:hAnsi="宋体" w:eastAsia="方正仿宋_GBK"/>
          <w:b w:val="0"/>
          <w:bCs/>
          <w:color w:val="000000"/>
          <w:sz w:val="24"/>
          <w:szCs w:val="24"/>
        </w:rPr>
        <w:t>表》</w:t>
      </w:r>
      <w:r>
        <w:rPr>
          <w:rFonts w:hint="eastAsia" w:ascii="方正仿宋_GBK" w:hAnsi="宋体" w:eastAsia="方正仿宋_GBK"/>
          <w:b w:val="0"/>
          <w:bCs/>
          <w:color w:val="000000"/>
          <w:sz w:val="24"/>
          <w:szCs w:val="24"/>
          <w:lang w:eastAsia="zh-CN"/>
        </w:rPr>
        <w:t>（包含但不限于）</w:t>
      </w:r>
      <w:bookmarkEnd w:id="14"/>
    </w:p>
    <w:tbl>
      <w:tblPr>
        <w:tblW w:w="84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070"/>
        <w:gridCol w:w="1304"/>
        <w:gridCol w:w="1692"/>
        <w:gridCol w:w="3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sz w:val="28"/>
                <w:szCs w:val="28"/>
              </w:rPr>
            </w:pPr>
            <w:r>
              <w:rPr>
                <w:rFonts w:hint="eastAsia"/>
                <w:sz w:val="28"/>
                <w:szCs w:val="28"/>
              </w:rPr>
              <w:t>商品名称</w:t>
            </w:r>
          </w:p>
        </w:tc>
        <w:tc>
          <w:tcPr>
            <w:tcW w:w="1304" w:type="dxa"/>
            <w:vAlign w:val="top"/>
          </w:tcPr>
          <w:p>
            <w:pPr>
              <w:rPr>
                <w:sz w:val="28"/>
                <w:szCs w:val="28"/>
              </w:rPr>
            </w:pPr>
            <w:r>
              <w:rPr>
                <w:rFonts w:hint="eastAsia"/>
                <w:sz w:val="28"/>
                <w:szCs w:val="28"/>
              </w:rPr>
              <w:t>规格</w:t>
            </w:r>
          </w:p>
        </w:tc>
        <w:tc>
          <w:tcPr>
            <w:tcW w:w="1692" w:type="dxa"/>
            <w:vAlign w:val="top"/>
          </w:tcPr>
          <w:p>
            <w:pPr>
              <w:rPr>
                <w:color w:val="FF0000"/>
                <w:szCs w:val="21"/>
              </w:rPr>
            </w:pPr>
            <w:r>
              <w:rPr>
                <w:rFonts w:hint="eastAsia"/>
                <w:szCs w:val="21"/>
              </w:rPr>
              <w:t>询价最低价的折扣（最高不超过95%）</w:t>
            </w:r>
          </w:p>
        </w:tc>
        <w:tc>
          <w:tcPr>
            <w:tcW w:w="3371" w:type="dxa"/>
            <w:tcBorders>
              <w:top w:val="single" w:color="auto" w:sz="4" w:space="0"/>
              <w:bottom w:val="single" w:color="auto" w:sz="4" w:space="0"/>
            </w:tcBorders>
            <w:vAlign w:val="top"/>
          </w:tcPr>
          <w:p>
            <w:pPr>
              <w:rPr>
                <w:sz w:val="28"/>
                <w:szCs w:val="28"/>
              </w:rPr>
            </w:pPr>
            <w:r>
              <w:rPr>
                <w:rFonts w:hint="eastAsia"/>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sz w:val="24"/>
                <w:szCs w:val="24"/>
              </w:rPr>
            </w:pPr>
            <w:r>
              <w:rPr>
                <w:rFonts w:hint="eastAsia" w:ascii="宋体" w:hAnsi="宋体"/>
                <w:sz w:val="24"/>
                <w:szCs w:val="24"/>
              </w:rPr>
              <w:t>韭菜叶水面</w:t>
            </w:r>
          </w:p>
        </w:tc>
        <w:tc>
          <w:tcPr>
            <w:tcW w:w="1304" w:type="dxa"/>
            <w:vAlign w:val="top"/>
          </w:tcPr>
          <w:p>
            <w:pPr>
              <w:rPr>
                <w:sz w:val="24"/>
                <w:szCs w:val="24"/>
              </w:rPr>
            </w:pPr>
            <w:r>
              <w:rPr>
                <w:rFonts w:hint="eastAsia"/>
                <w:sz w:val="24"/>
                <w:szCs w:val="24"/>
              </w:rPr>
              <w:t>公斤</w:t>
            </w:r>
          </w:p>
        </w:tc>
        <w:tc>
          <w:tcPr>
            <w:tcW w:w="1692" w:type="dxa"/>
            <w:vMerge w:val="restart"/>
            <w:vAlign w:val="top"/>
          </w:tcPr>
          <w:p>
            <w:pPr>
              <w:rPr>
                <w:sz w:val="28"/>
                <w:szCs w:val="28"/>
              </w:rPr>
            </w:pPr>
          </w:p>
        </w:tc>
        <w:tc>
          <w:tcPr>
            <w:tcW w:w="3371" w:type="dxa"/>
            <w:vMerge w:val="restart"/>
            <w:tcBorders>
              <w:top w:val="single" w:color="auto" w:sz="4" w:space="0"/>
            </w:tcBorders>
            <w:vAlign w:val="top"/>
          </w:tcPr>
          <w:p>
            <w:pPr>
              <w:rPr>
                <w:szCs w:val="21"/>
              </w:rPr>
            </w:pPr>
            <w:r>
              <w:rPr>
                <w:rFonts w:hint="eastAsia"/>
                <w:szCs w:val="21"/>
              </w:rPr>
              <w:t>每月二次由合川区人民医院组织人员和中标方一起到合川区南津街农贸市场、蟠龙农贸市场等大型农贸市场进行询价至少三家以上，中标人的配送价=询价最低价*中标人的折扣。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205" w:hRule="atLeast"/>
        </w:trPr>
        <w:tc>
          <w:tcPr>
            <w:tcW w:w="2070" w:type="dxa"/>
            <w:vAlign w:val="top"/>
          </w:tcPr>
          <w:p>
            <w:pPr>
              <w:rPr>
                <w:sz w:val="24"/>
                <w:szCs w:val="24"/>
              </w:rPr>
            </w:pPr>
            <w:r>
              <w:rPr>
                <w:rFonts w:hint="eastAsia" w:ascii="宋体" w:hAnsi="宋体"/>
                <w:sz w:val="24"/>
                <w:szCs w:val="24"/>
              </w:rPr>
              <w:t>细水面</w:t>
            </w:r>
          </w:p>
        </w:tc>
        <w:tc>
          <w:tcPr>
            <w:tcW w:w="1304" w:type="dxa"/>
            <w:vAlign w:val="top"/>
          </w:tcPr>
          <w:p>
            <w:pPr>
              <w:rPr>
                <w:sz w:val="24"/>
                <w:szCs w:val="24"/>
              </w:rPr>
            </w:pPr>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rFonts w:ascii="宋体" w:hAnsi="宋体"/>
                <w:sz w:val="24"/>
                <w:szCs w:val="24"/>
              </w:rPr>
            </w:pPr>
            <w:r>
              <w:rPr>
                <w:rFonts w:hint="eastAsia" w:ascii="宋体" w:hAnsi="宋体"/>
                <w:sz w:val="24"/>
                <w:szCs w:val="24"/>
              </w:rPr>
              <w:t>刀削面</w:t>
            </w:r>
          </w:p>
        </w:tc>
        <w:tc>
          <w:tcPr>
            <w:tcW w:w="1304" w:type="dxa"/>
            <w:vAlign w:val="top"/>
          </w:tcPr>
          <w:p>
            <w:pPr>
              <w:rPr>
                <w:sz w:val="24"/>
                <w:szCs w:val="24"/>
              </w:rPr>
            </w:pPr>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rFonts w:ascii="宋体" w:hAnsi="宋体"/>
                <w:sz w:val="24"/>
                <w:szCs w:val="24"/>
              </w:rPr>
            </w:pPr>
            <w:r>
              <w:rPr>
                <w:rFonts w:hint="eastAsia" w:ascii="宋体" w:hAnsi="宋体"/>
                <w:sz w:val="24"/>
                <w:szCs w:val="24"/>
              </w:rPr>
              <w:t>饺子皮</w:t>
            </w:r>
          </w:p>
        </w:tc>
        <w:tc>
          <w:tcPr>
            <w:tcW w:w="1304" w:type="dxa"/>
            <w:vAlign w:val="top"/>
          </w:tcPr>
          <w:p>
            <w:pPr>
              <w:rPr>
                <w:sz w:val="24"/>
                <w:szCs w:val="24"/>
              </w:rPr>
            </w:pPr>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rFonts w:ascii="宋体" w:hAnsi="宋体"/>
                <w:sz w:val="24"/>
                <w:szCs w:val="24"/>
              </w:rPr>
            </w:pPr>
            <w:r>
              <w:rPr>
                <w:rFonts w:hint="eastAsia" w:ascii="宋体" w:hAnsi="宋体"/>
                <w:sz w:val="24"/>
                <w:szCs w:val="24"/>
              </w:rPr>
              <w:t>抄手皮</w:t>
            </w:r>
          </w:p>
        </w:tc>
        <w:tc>
          <w:tcPr>
            <w:tcW w:w="1304" w:type="dxa"/>
            <w:vAlign w:val="top"/>
          </w:tcPr>
          <w:p>
            <w:pPr>
              <w:rPr>
                <w:sz w:val="24"/>
                <w:szCs w:val="24"/>
              </w:rPr>
            </w:pPr>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sz w:val="24"/>
                <w:szCs w:val="24"/>
              </w:rPr>
            </w:pPr>
            <w:r>
              <w:rPr>
                <w:rFonts w:hint="eastAsia"/>
                <w:sz w:val="24"/>
                <w:szCs w:val="24"/>
              </w:rPr>
              <w:t>凉面</w:t>
            </w:r>
          </w:p>
        </w:tc>
        <w:tc>
          <w:tcPr>
            <w:tcW w:w="1304" w:type="dxa"/>
            <w:vAlign w:val="top"/>
          </w:tcPr>
          <w:p>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sz w:val="24"/>
                <w:szCs w:val="24"/>
              </w:rPr>
            </w:pPr>
            <w:r>
              <w:rPr>
                <w:rFonts w:hint="eastAsia" w:ascii="宋体" w:hAnsi="宋体"/>
                <w:sz w:val="24"/>
                <w:szCs w:val="24"/>
              </w:rPr>
              <w:t>干米粉</w:t>
            </w:r>
          </w:p>
        </w:tc>
        <w:tc>
          <w:tcPr>
            <w:tcW w:w="1304" w:type="dxa"/>
            <w:vAlign w:val="top"/>
          </w:tcPr>
          <w:p>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sz w:val="24"/>
                <w:szCs w:val="24"/>
              </w:rPr>
            </w:pPr>
            <w:r>
              <w:rPr>
                <w:rFonts w:hint="eastAsia" w:ascii="宋体" w:hAnsi="宋体"/>
                <w:sz w:val="24"/>
                <w:szCs w:val="24"/>
              </w:rPr>
              <w:t>水粉</w:t>
            </w:r>
          </w:p>
        </w:tc>
        <w:tc>
          <w:tcPr>
            <w:tcW w:w="1304" w:type="dxa"/>
            <w:vAlign w:val="top"/>
          </w:tcPr>
          <w:p>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rFonts w:ascii="宋体" w:hAnsi="宋体"/>
                <w:sz w:val="24"/>
                <w:szCs w:val="24"/>
              </w:rPr>
            </w:pPr>
            <w:r>
              <w:rPr>
                <w:rFonts w:hint="eastAsia" w:ascii="宋体" w:hAnsi="宋体"/>
                <w:sz w:val="24"/>
                <w:szCs w:val="24"/>
              </w:rPr>
              <w:t>河粉</w:t>
            </w:r>
          </w:p>
        </w:tc>
        <w:tc>
          <w:tcPr>
            <w:tcW w:w="1304" w:type="dxa"/>
            <w:vAlign w:val="top"/>
          </w:tcPr>
          <w:p>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2070" w:type="dxa"/>
            <w:vAlign w:val="top"/>
          </w:tcPr>
          <w:p>
            <w:pPr>
              <w:rPr>
                <w:rFonts w:ascii="宋体" w:hAnsi="宋体"/>
                <w:sz w:val="24"/>
                <w:szCs w:val="24"/>
              </w:rPr>
            </w:pPr>
            <w:r>
              <w:rPr>
                <w:rFonts w:hint="eastAsia" w:ascii="宋体" w:hAnsi="宋体"/>
                <w:sz w:val="24"/>
                <w:szCs w:val="24"/>
              </w:rPr>
              <w:t>凉皮</w:t>
            </w:r>
          </w:p>
        </w:tc>
        <w:tc>
          <w:tcPr>
            <w:tcW w:w="1304" w:type="dxa"/>
            <w:vAlign w:val="top"/>
          </w:tcPr>
          <w:p>
            <w:r>
              <w:rPr>
                <w:rFonts w:hint="eastAsia"/>
                <w:sz w:val="24"/>
                <w:szCs w:val="24"/>
              </w:rPr>
              <w:t>公斤</w:t>
            </w:r>
          </w:p>
        </w:tc>
        <w:tc>
          <w:tcPr>
            <w:tcW w:w="1692" w:type="dxa"/>
            <w:vMerge w:val="continue"/>
            <w:vAlign w:val="top"/>
          </w:tcPr>
          <w:p>
            <w:pPr>
              <w:rPr>
                <w:sz w:val="28"/>
                <w:szCs w:val="28"/>
              </w:rPr>
            </w:pPr>
          </w:p>
        </w:tc>
        <w:tc>
          <w:tcPr>
            <w:tcW w:w="3371" w:type="dxa"/>
            <w:vMerge w:val="continue"/>
            <w:vAlign w:val="top"/>
          </w:tcPr>
          <w:p>
            <w:pPr>
              <w:rPr>
                <w:sz w:val="28"/>
                <w:szCs w:val="28"/>
              </w:rPr>
            </w:pPr>
          </w:p>
        </w:tc>
      </w:tr>
    </w:tbl>
    <w:p>
      <w:pPr>
        <w:rPr>
          <w:rFonts w:hint="eastAsia"/>
          <w:lang w:eastAsia="zh-CN"/>
        </w:rPr>
      </w:pPr>
    </w:p>
    <w:p>
      <w:pPr>
        <w:widowControl/>
        <w:numPr>
          <w:numId w:val="0"/>
        </w:numPr>
        <w:jc w:val="left"/>
        <w:rPr>
          <w:rFonts w:hint="eastAsia"/>
          <w:b/>
          <w:bCs/>
          <w:szCs w:val="21"/>
          <w:lang w:val="en-US" w:eastAsia="zh-CN"/>
        </w:rPr>
      </w:pPr>
      <w:r>
        <w:rPr>
          <w:rFonts w:hint="eastAsia"/>
          <w:b/>
          <w:bCs/>
          <w:szCs w:val="21"/>
          <w:lang w:val="en-US" w:eastAsia="zh-CN"/>
        </w:rPr>
        <w:t>二、产品要求</w:t>
      </w:r>
    </w:p>
    <w:p>
      <w:pPr>
        <w:pStyle w:val="20"/>
        <w:spacing w:line="240" w:lineRule="atLeast"/>
        <w:ind w:left="0" w:firstLine="280" w:firstLineChars="100"/>
        <w:rPr>
          <w:rFonts w:ascii="宋体" w:hAnsi="宋体"/>
          <w:sz w:val="28"/>
          <w:szCs w:val="28"/>
        </w:rPr>
      </w:pPr>
      <w:r>
        <w:rPr>
          <w:rFonts w:hint="eastAsia" w:ascii="宋体" w:hAnsi="宋体"/>
          <w:sz w:val="28"/>
          <w:szCs w:val="28"/>
        </w:rPr>
        <w:t>粉、面质地均匀，每天配送的粉、面均需当天生产的，无发霉发酸等现象。不合格者，采购人可以拒绝验收，并要求2小时内重新配送。</w:t>
      </w:r>
    </w:p>
    <w:p>
      <w:pPr>
        <w:numPr>
          <w:numId w:val="0"/>
        </w:numPr>
        <w:snapToGrid w:val="0"/>
        <w:spacing w:line="400" w:lineRule="exact"/>
        <w:rPr>
          <w:rFonts w:hint="eastAsia" w:ascii="宋体" w:hAnsi="宋体"/>
          <w:b/>
          <w:bCs/>
          <w:sz w:val="28"/>
          <w:szCs w:val="28"/>
          <w:lang w:val="en-US" w:eastAsia="zh-CN"/>
        </w:rPr>
      </w:pPr>
      <w:r>
        <w:rPr>
          <w:rFonts w:hint="eastAsia" w:ascii="宋体" w:hAnsi="宋体"/>
          <w:b/>
          <w:bCs/>
          <w:sz w:val="28"/>
          <w:szCs w:val="28"/>
          <w:lang w:val="en-US" w:eastAsia="zh-CN"/>
        </w:rPr>
        <w:t>三、产品配送要求</w:t>
      </w:r>
    </w:p>
    <w:p>
      <w:pPr>
        <w:snapToGrid w:val="0"/>
        <w:spacing w:line="380" w:lineRule="exact"/>
        <w:rPr>
          <w:rFonts w:ascii="宋体" w:hAnsi="宋体" w:cs="仿宋"/>
          <w:sz w:val="28"/>
          <w:szCs w:val="28"/>
        </w:rPr>
      </w:pPr>
      <w:r>
        <w:rPr>
          <w:rFonts w:hint="eastAsia" w:ascii="宋体" w:hAnsi="宋体" w:cs="仿宋"/>
          <w:sz w:val="28"/>
          <w:szCs w:val="28"/>
          <w:lang w:val="en-US" w:eastAsia="zh-CN"/>
        </w:rPr>
        <w:t xml:space="preserve">   </w:t>
      </w:r>
      <w:r>
        <w:rPr>
          <w:rFonts w:hint="eastAsia" w:ascii="宋体" w:hAnsi="宋体"/>
          <w:sz w:val="28"/>
          <w:szCs w:val="28"/>
        </w:rPr>
        <w:t>中标供应商按要求对每日采购需求量进行确认，每天下午</w:t>
      </w:r>
      <w:r>
        <w:rPr>
          <w:rFonts w:hint="eastAsia" w:ascii="宋体" w:hAnsi="宋体"/>
          <w:b/>
          <w:sz w:val="28"/>
          <w:szCs w:val="28"/>
        </w:rPr>
        <w:t>16:00</w:t>
      </w:r>
      <w:r>
        <w:rPr>
          <w:rFonts w:hint="eastAsia" w:ascii="宋体" w:hAnsi="宋体"/>
          <w:b/>
          <w:sz w:val="28"/>
          <w:szCs w:val="28"/>
        </w:rPr>
        <w:tab/>
      </w:r>
      <w:r>
        <w:rPr>
          <w:rFonts w:hint="eastAsia" w:ascii="宋体" w:hAnsi="宋体"/>
          <w:sz w:val="28"/>
          <w:szCs w:val="28"/>
        </w:rPr>
        <w:t>前将订单内所有粉、面送到，中标人提供《送货清单》一式两份，甲乙双方现场过秤并验收签名，作结算凭证。</w:t>
      </w:r>
      <w:r>
        <w:rPr>
          <w:rFonts w:hint="eastAsia" w:ascii="宋体" w:hAnsi="宋体" w:cs="仿宋"/>
          <w:sz w:val="28"/>
          <w:szCs w:val="28"/>
        </w:rPr>
        <w:t>若采购人有临时突发加急配送，中标供应商需无条件配合。</w:t>
      </w:r>
    </w:p>
    <w:p>
      <w:pPr>
        <w:numPr>
          <w:numId w:val="0"/>
        </w:numPr>
        <w:snapToGrid w:val="0"/>
        <w:spacing w:line="400" w:lineRule="exact"/>
        <w:rPr>
          <w:rFonts w:hint="eastAsia" w:ascii="宋体" w:hAnsi="宋体"/>
          <w:b/>
          <w:bCs/>
          <w:sz w:val="28"/>
          <w:szCs w:val="28"/>
          <w:lang w:val="en-US" w:eastAsia="zh-CN"/>
        </w:rPr>
      </w:pPr>
      <w:r>
        <w:rPr>
          <w:rFonts w:hint="eastAsia" w:ascii="宋体" w:hAnsi="宋体"/>
          <w:b/>
          <w:bCs/>
          <w:sz w:val="28"/>
          <w:szCs w:val="28"/>
          <w:lang w:val="en-US" w:eastAsia="zh-CN"/>
        </w:rPr>
        <w:t>四、其他要求</w:t>
      </w:r>
    </w:p>
    <w:p>
      <w:pPr>
        <w:numPr>
          <w:numId w:val="0"/>
        </w:numPr>
        <w:snapToGrid w:val="0"/>
        <w:spacing w:line="400" w:lineRule="exact"/>
        <w:rPr>
          <w:rFonts w:hint="eastAsia" w:ascii="宋体" w:hAnsi="宋体"/>
          <w:b w:val="0"/>
          <w:bCs w:val="0"/>
          <w:sz w:val="28"/>
          <w:szCs w:val="28"/>
          <w:lang w:val="en-US" w:eastAsia="zh-CN"/>
        </w:rPr>
      </w:pPr>
      <w:r>
        <w:rPr>
          <w:rFonts w:hint="eastAsia" w:ascii="宋体" w:hAnsi="宋体"/>
          <w:b/>
          <w:bCs/>
          <w:sz w:val="28"/>
          <w:szCs w:val="28"/>
          <w:lang w:val="en-US" w:eastAsia="zh-CN"/>
        </w:rPr>
        <w:t xml:space="preserve">    </w:t>
      </w:r>
      <w:r>
        <w:rPr>
          <w:rFonts w:hint="eastAsia" w:ascii="宋体" w:hAnsi="宋体"/>
          <w:b w:val="0"/>
          <w:bCs w:val="0"/>
          <w:sz w:val="28"/>
          <w:szCs w:val="28"/>
          <w:lang w:val="en-US" w:eastAsia="zh-CN"/>
        </w:rPr>
        <w:t>（一）供应商所提供的食材应当符合《中华人民共和国食品安全法》的相关规定；</w:t>
      </w:r>
    </w:p>
    <w:p>
      <w:pPr>
        <w:numPr>
          <w:numId w:val="0"/>
        </w:numPr>
        <w:snapToGrid w:val="0"/>
        <w:spacing w:line="400" w:lineRule="exact"/>
        <w:rPr>
          <w:rFonts w:hint="eastAsia" w:ascii="宋体" w:hAnsi="宋体"/>
          <w:b w:val="0"/>
          <w:bCs w:val="0"/>
          <w:sz w:val="28"/>
          <w:szCs w:val="28"/>
          <w:lang w:val="en-US" w:eastAsia="zh-CN"/>
        </w:rPr>
      </w:pPr>
      <w:r>
        <w:rPr>
          <w:rFonts w:hint="eastAsia" w:ascii="宋体" w:hAnsi="宋体"/>
          <w:b w:val="0"/>
          <w:bCs w:val="0"/>
          <w:sz w:val="28"/>
          <w:szCs w:val="28"/>
          <w:lang w:val="en-US" w:eastAsia="zh-CN"/>
        </w:rPr>
        <w:t xml:space="preserve">    （二）供应商所提供的食材应当符合国家及行业的相关标准。</w:t>
      </w:r>
    </w:p>
    <w:p>
      <w:pPr>
        <w:numPr>
          <w:numId w:val="0"/>
        </w:numPr>
        <w:snapToGrid w:val="0"/>
        <w:spacing w:line="380" w:lineRule="exact"/>
        <w:rPr>
          <w:rFonts w:hint="eastAsia" w:ascii="宋体" w:hAnsi="宋体" w:cs="仿宋"/>
          <w:sz w:val="28"/>
          <w:szCs w:val="28"/>
          <w:lang w:val="en-US" w:eastAsia="zh-CN"/>
        </w:rPr>
      </w:pPr>
    </w:p>
    <w:p>
      <w:pPr>
        <w:snapToGrid w:val="0"/>
        <w:spacing w:line="380" w:lineRule="exact"/>
        <w:rPr>
          <w:rFonts w:hint="eastAsia" w:ascii="宋体" w:hAnsi="宋体" w:eastAsia="宋体" w:cs="仿宋"/>
          <w:sz w:val="28"/>
          <w:szCs w:val="28"/>
          <w:lang w:val="en-US" w:eastAsia="zh-CN"/>
        </w:rPr>
      </w:pPr>
      <w:r>
        <w:rPr>
          <w:rFonts w:hint="eastAsia" w:ascii="宋体" w:hAnsi="宋体" w:cs="仿宋"/>
          <w:sz w:val="28"/>
          <w:szCs w:val="28"/>
          <w:lang w:val="en-US" w:eastAsia="zh-CN"/>
        </w:rPr>
        <w:t xml:space="preserve">    </w:t>
      </w:r>
    </w:p>
    <w:p>
      <w:pPr>
        <w:numPr>
          <w:numId w:val="0"/>
        </w:numPr>
        <w:snapToGrid w:val="0"/>
        <w:spacing w:line="400" w:lineRule="exact"/>
        <w:rPr>
          <w:rFonts w:hint="eastAsia" w:ascii="宋体" w:hAnsi="宋体"/>
          <w:sz w:val="28"/>
          <w:szCs w:val="28"/>
          <w:lang w:val="en-US" w:eastAsia="zh-CN"/>
        </w:rPr>
      </w:pPr>
    </w:p>
    <w:p>
      <w:pPr>
        <w:numPr>
          <w:numId w:val="0"/>
        </w:numPr>
        <w:snapToGrid w:val="0"/>
        <w:spacing w:line="400" w:lineRule="exact"/>
        <w:rPr>
          <w:rFonts w:hint="eastAsia" w:ascii="宋体" w:hAnsi="宋体"/>
          <w:sz w:val="28"/>
          <w:szCs w:val="28"/>
          <w:lang w:val="en-US" w:eastAsia="zh-CN"/>
        </w:rPr>
      </w:pPr>
    </w:p>
    <w:p>
      <w:pPr>
        <w:pStyle w:val="20"/>
        <w:spacing w:line="240" w:lineRule="atLeast"/>
        <w:rPr>
          <w:rFonts w:hint="eastAsia" w:ascii="宋体" w:hAnsi="宋体" w:eastAsia="宋体"/>
          <w:sz w:val="28"/>
          <w:szCs w:val="28"/>
          <w:lang w:val="en-US" w:eastAsia="zh-CN"/>
        </w:rPr>
      </w:pPr>
    </w:p>
    <w:p>
      <w:pPr>
        <w:pStyle w:val="20"/>
        <w:spacing w:line="240" w:lineRule="atLeast"/>
        <w:rPr>
          <w:rFonts w:hint="eastAsia" w:ascii="宋体" w:hAnsi="宋体" w:eastAsia="宋体"/>
          <w:sz w:val="28"/>
          <w:szCs w:val="28"/>
          <w:lang w:val="en-US" w:eastAsia="zh-CN"/>
        </w:rPr>
      </w:pPr>
    </w:p>
    <w:p>
      <w:pPr>
        <w:widowControl/>
        <w:numPr>
          <w:numId w:val="0"/>
        </w:numPr>
        <w:jc w:val="left"/>
      </w:pPr>
    </w:p>
    <w:p>
      <w:pPr>
        <w:pStyle w:val="2"/>
        <w:spacing w:line="360" w:lineRule="auto"/>
        <w:jc w:val="center"/>
        <w:rPr>
          <w:rFonts w:hint="eastAsia" w:ascii="宋体" w:hAnsi="宋体"/>
          <w:sz w:val="28"/>
          <w:szCs w:val="28"/>
          <w:lang w:val="en-US" w:eastAsia="zh-CN"/>
        </w:rPr>
      </w:pPr>
      <w:r>
        <w:rPr>
          <w:rFonts w:hint="eastAsia" w:ascii="方正小标宋_GBK" w:hAnsi="宋体" w:eastAsia="方正小标宋_GBK"/>
          <w:b w:val="0"/>
          <w:sz w:val="36"/>
          <w:szCs w:val="30"/>
        </w:rPr>
        <w:br w:type="page"/>
      </w:r>
      <w:r>
        <w:rPr>
          <w:rFonts w:hint="eastAsia" w:ascii="方正小标宋_GBK" w:hAnsi="宋体" w:eastAsia="方正小标宋_GBK"/>
          <w:b w:val="0"/>
          <w:sz w:val="36"/>
          <w:szCs w:val="30"/>
        </w:rPr>
        <w:t xml:space="preserve">第三篇  </w:t>
      </w:r>
      <w:r>
        <w:rPr>
          <w:rFonts w:hint="eastAsia" w:ascii="方正小标宋_GBK" w:hAnsi="宋体" w:eastAsia="方正小标宋_GBK"/>
          <w:b w:val="0"/>
          <w:sz w:val="36"/>
          <w:szCs w:val="30"/>
          <w:lang w:val="en-US" w:eastAsia="zh-CN"/>
        </w:rPr>
        <w:t>谈判项目</w:t>
      </w:r>
      <w:r>
        <w:rPr>
          <w:rFonts w:hint="eastAsia" w:ascii="方正小标宋_GBK" w:hAnsi="宋体" w:eastAsia="方正小标宋_GBK"/>
          <w:b w:val="0"/>
          <w:sz w:val="36"/>
          <w:szCs w:val="30"/>
        </w:rPr>
        <w:t>商务需求</w:t>
      </w:r>
      <w:bookmarkEnd w:id="13"/>
      <w:bookmarkEnd w:id="15"/>
      <w:bookmarkStart w:id="16" w:name="_Toc481507574"/>
      <w:bookmarkStart w:id="17" w:name="_Toc267320054"/>
      <w:bookmarkStart w:id="18" w:name="_Toc521403728"/>
      <w:bookmarkStart w:id="19" w:name="_Toc480201035"/>
      <w:r>
        <w:rPr>
          <w:rFonts w:hint="eastAsia" w:ascii="宋体" w:hAnsi="宋体"/>
          <w:sz w:val="28"/>
          <w:szCs w:val="28"/>
          <w:lang w:val="en-US" w:eastAsia="zh-CN"/>
        </w:rPr>
        <w:t xml:space="preserve"> </w:t>
      </w:r>
    </w:p>
    <w:p>
      <w:pPr>
        <w:pStyle w:val="2"/>
        <w:spacing w:line="360" w:lineRule="auto"/>
        <w:jc w:val="both"/>
        <w:rPr>
          <w:rFonts w:ascii="宋体" w:hAnsi="宋体"/>
          <w:b/>
          <w:bCs/>
          <w:sz w:val="28"/>
          <w:szCs w:val="28"/>
        </w:rPr>
      </w:pPr>
      <w:r>
        <w:rPr>
          <w:rFonts w:hint="eastAsia" w:ascii="宋体" w:hAnsi="宋体"/>
          <w:sz w:val="28"/>
          <w:szCs w:val="28"/>
          <w:lang w:val="en-US" w:eastAsia="zh-CN"/>
        </w:rPr>
        <w:t xml:space="preserve">    一</w:t>
      </w:r>
      <w:r>
        <w:rPr>
          <w:rFonts w:hint="eastAsia" w:ascii="宋体" w:hAnsi="宋体"/>
          <w:b/>
          <w:bCs/>
          <w:sz w:val="28"/>
          <w:szCs w:val="28"/>
        </w:rPr>
        <w:t>、定价规则</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1．采价周期及时间：每月二次选择本地区农贸市场（南津街农贸市场、蟠龙农贸市场等大型农贸市场）进行二次市场采价，采价时间为当日早市时间（9:00-12：00）。</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2．采价小组成员：每次采价人员采购方至少有2人和中标供应商1人参加，并在询价表上签字确认。</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3．采价方式：由供货商先提出供货清单，由采价小组人员到市场进行实地询价，询价工作应在12:00以前完成。</w:t>
      </w:r>
    </w:p>
    <w:p>
      <w:pPr>
        <w:snapToGrid w:val="0"/>
        <w:spacing w:line="400" w:lineRule="exact"/>
        <w:rPr>
          <w:rFonts w:ascii="宋体" w:hAnsi="宋体"/>
          <w:sz w:val="28"/>
          <w:szCs w:val="28"/>
        </w:rPr>
      </w:pPr>
      <w:r>
        <w:rPr>
          <w:rFonts w:hint="eastAsia" w:ascii="宋体" w:hAnsi="宋体"/>
          <w:bCs/>
          <w:sz w:val="28"/>
          <w:szCs w:val="28"/>
          <w:lang w:val="en-US" w:eastAsia="zh-CN"/>
        </w:rPr>
        <w:t xml:space="preserve">    </w:t>
      </w:r>
      <w:r>
        <w:rPr>
          <w:rFonts w:hint="eastAsia" w:ascii="宋体" w:hAnsi="宋体"/>
          <w:bCs/>
          <w:sz w:val="28"/>
          <w:szCs w:val="28"/>
        </w:rPr>
        <w:t>4. 定价：采价结束当天内，采价小组人员</w:t>
      </w:r>
      <w:r>
        <w:rPr>
          <w:rFonts w:hint="eastAsia" w:ascii="宋体" w:hAnsi="宋体"/>
          <w:sz w:val="28"/>
          <w:szCs w:val="28"/>
        </w:rPr>
        <w:t>至少三家以上的价格为依据，取最低价为基价，再按其中标折扣确定供货价作为次月结算依据</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5. 采购人未列出的蛋类，且在其经营范围内的，中标人必须供货，同时按小组人员询价后中，取最低价为基价，再按其中标折扣确定供货价作为结算依据（中标人的配送价=询价最低价*中标人的折扣）。</w:t>
      </w:r>
    </w:p>
    <w:p>
      <w:pPr>
        <w:snapToGrid w:val="0"/>
        <w:spacing w:line="400" w:lineRule="exact"/>
        <w:rPr>
          <w:rFonts w:ascii="宋体" w:hAnsi="宋体"/>
          <w:sz w:val="28"/>
          <w:szCs w:val="28"/>
        </w:rPr>
      </w:pPr>
      <w:r>
        <w:rPr>
          <w:rFonts w:hint="eastAsia" w:ascii="宋体" w:hAnsi="宋体"/>
          <w:sz w:val="28"/>
          <w:szCs w:val="28"/>
          <w:lang w:val="en-US" w:eastAsia="zh-CN"/>
        </w:rPr>
        <w:t xml:space="preserve">    二</w:t>
      </w:r>
      <w:r>
        <w:rPr>
          <w:rFonts w:hint="eastAsia" w:ascii="宋体" w:hAnsi="宋体"/>
          <w:b/>
          <w:bCs/>
          <w:sz w:val="28"/>
          <w:szCs w:val="28"/>
        </w:rPr>
        <w:t>、报价要求</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本次报价须为人民币报价，本次报价为折扣比例报价，结算价=市场询价×中标折扣比例。折后结算价包括所有的蛋类的原材料价、包装费、运费、装卸费、搬运费、人工费、仓储费、保险费、利润及各种应纳的税费等。因投标人自身原因造成漏报、少报皆由其自行承担责任，采购人不再补偿。</w:t>
      </w:r>
    </w:p>
    <w:p>
      <w:pPr>
        <w:rPr>
          <w:rFonts w:ascii="宋体" w:hAnsi="宋体"/>
          <w:b/>
          <w:bCs/>
          <w:sz w:val="28"/>
          <w:szCs w:val="28"/>
        </w:rPr>
      </w:pPr>
      <w:r>
        <w:rPr>
          <w:rFonts w:hint="eastAsia" w:ascii="宋体" w:hAnsi="宋体"/>
          <w:sz w:val="28"/>
          <w:szCs w:val="28"/>
          <w:lang w:val="en-US" w:eastAsia="zh-CN"/>
        </w:rPr>
        <w:t xml:space="preserve">    三</w:t>
      </w:r>
      <w:r>
        <w:rPr>
          <w:rFonts w:hint="eastAsia" w:ascii="宋体" w:hAnsi="宋体"/>
          <w:b/>
          <w:bCs/>
          <w:sz w:val="28"/>
          <w:szCs w:val="28"/>
        </w:rPr>
        <w:t>、服务时间和服务地点</w:t>
      </w:r>
    </w:p>
    <w:p>
      <w:pP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（一）试供期</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1、中标人签订合同后正式进入试供期。试供期为1个月，主要考察中标人货物质量、服务、信誉等方面。</w:t>
      </w:r>
    </w:p>
    <w:p>
      <w:pPr>
        <w:rPr>
          <w:rFonts w:ascii="宋体" w:hAnsi="宋体" w:cs="宋体"/>
          <w:kern w:val="0"/>
          <w:sz w:val="28"/>
          <w:szCs w:val="28"/>
        </w:rPr>
      </w:pPr>
      <w:r>
        <w:rPr>
          <w:rFonts w:hint="eastAsia" w:ascii="宋体" w:hAnsi="宋体"/>
          <w:sz w:val="28"/>
          <w:szCs w:val="28"/>
          <w:lang w:val="en-US" w:eastAsia="zh-CN"/>
        </w:rPr>
        <w:t xml:space="preserve">    </w:t>
      </w:r>
      <w:r>
        <w:rPr>
          <w:rFonts w:hint="eastAsia" w:ascii="宋体" w:hAnsi="宋体"/>
          <w:sz w:val="28"/>
          <w:szCs w:val="28"/>
        </w:rPr>
        <w:t>2、试供期考核标准：</w:t>
      </w:r>
      <w:r>
        <w:rPr>
          <w:rFonts w:hint="eastAsia" w:ascii="宋体" w:hAnsi="宋体" w:cs="宋体"/>
          <w:kern w:val="0"/>
          <w:sz w:val="28"/>
          <w:szCs w:val="28"/>
        </w:rPr>
        <w:t>货物质量、服务、信誉。</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2.1货物质量是否符合招标文件规定的质量标准；</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2.2质量符合国家相关食品安全卫生标准；</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2.3每天按时将当天货物配送完毕；</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2.4配送货物的数量是否达到招标人订单要求或合同允许的偏差范围内；</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2.5实际送货与招标人订单短缺的部分、因质量问题而被招标人退货的部分，能否按要求补足；</w:t>
      </w:r>
    </w:p>
    <w:p>
      <w:pPr>
        <w:snapToGrid w:val="0"/>
        <w:spacing w:line="400" w:lineRule="exact"/>
        <w:ind w:firstLine="280" w:firstLineChars="100"/>
        <w:rPr>
          <w:rFonts w:ascii="宋体" w:hAnsi="宋体" w:cs="宋体"/>
          <w:kern w:val="0"/>
          <w:sz w:val="28"/>
          <w:szCs w:val="28"/>
        </w:rPr>
      </w:pPr>
      <w:r>
        <w:rPr>
          <w:rFonts w:hint="eastAsia" w:ascii="宋体" w:hAnsi="宋体" w:cs="宋体"/>
          <w:kern w:val="0"/>
          <w:sz w:val="28"/>
          <w:szCs w:val="28"/>
        </w:rPr>
        <w:t>2.6因以上质量问题造成退货次数达到违约责任规定的次数的，试供期视为不合格。</w:t>
      </w:r>
    </w:p>
    <w:p>
      <w:pPr>
        <w:rPr>
          <w:rFonts w:ascii="宋体" w:hAnsi="宋体"/>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3、试供期满且经招标人综合以上标准考察认为合格的，合同继续执行；若试供期间出现质量、服务等难以磨合的问题的，双方均有权提出终止合同（至少提前3天通知对方），另一方不得拒绝。合同终止后，招标人有权选择本项目下一中标候选人进行替补。试供期内合同被终止的，下一个招标年度招标人不再接受中标人的投标。</w:t>
      </w:r>
    </w:p>
    <w:p>
      <w:pP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（二）</w:t>
      </w:r>
      <w:r>
        <w:rPr>
          <w:rFonts w:hint="eastAsia" w:ascii="宋体" w:hAnsi="宋体" w:cs="宋体"/>
          <w:color w:val="FF0000"/>
          <w:kern w:val="0"/>
          <w:sz w:val="28"/>
          <w:szCs w:val="28"/>
        </w:rPr>
        <w:t>服务期：服务期1年</w:t>
      </w:r>
      <w:r>
        <w:rPr>
          <w:rFonts w:hint="eastAsia" w:ascii="宋体" w:hAnsi="宋体"/>
          <w:sz w:val="28"/>
          <w:szCs w:val="28"/>
        </w:rPr>
        <w:t>（包括试供期1个月）</w:t>
      </w:r>
      <w:r>
        <w:rPr>
          <w:rFonts w:hint="eastAsia" w:ascii="宋体" w:hAnsi="宋体" w:cs="宋体"/>
          <w:color w:val="FF0000"/>
          <w:kern w:val="0"/>
          <w:sz w:val="28"/>
          <w:szCs w:val="28"/>
        </w:rPr>
        <w:t>。</w:t>
      </w:r>
      <w:r>
        <w:rPr>
          <w:rFonts w:hint="eastAsia" w:ascii="宋体" w:hAnsi="宋体" w:cs="宋体"/>
          <w:kern w:val="0"/>
          <w:sz w:val="28"/>
          <w:szCs w:val="28"/>
        </w:rPr>
        <w:t>由于项目特殊性，服务期间出现服务质量、食品安全等重大问题，采购人有权单方面终止合同。</w:t>
      </w:r>
    </w:p>
    <w:p>
      <w:pPr>
        <w:numPr>
          <w:ilvl w:val="0"/>
          <w:numId w:val="3"/>
        </w:numPr>
        <w:ind w:firstLine="560" w:firstLineChars="200"/>
        <w:rPr>
          <w:rFonts w:hint="eastAsia" w:ascii="宋体" w:hAnsi="宋体" w:cs="方正仿宋_GBK"/>
          <w:bCs/>
          <w:sz w:val="28"/>
          <w:szCs w:val="28"/>
        </w:rPr>
      </w:pPr>
      <w:r>
        <w:rPr>
          <w:rFonts w:hint="eastAsia" w:ascii="宋体" w:hAnsi="宋体" w:cs="宋体"/>
          <w:kern w:val="0"/>
          <w:sz w:val="28"/>
          <w:szCs w:val="28"/>
        </w:rPr>
        <w:t>服务地点：</w:t>
      </w:r>
      <w:r>
        <w:rPr>
          <w:rFonts w:hint="eastAsia" w:ascii="宋体" w:hAnsi="宋体" w:cs="方正仿宋_GBK"/>
          <w:bCs/>
          <w:sz w:val="28"/>
          <w:szCs w:val="28"/>
        </w:rPr>
        <w:t>重庆市合川区南办处希尔安大道1366号。</w:t>
      </w:r>
    </w:p>
    <w:p>
      <w:pPr>
        <w:rPr>
          <w:rFonts w:hint="eastAsia" w:ascii="宋体" w:hAnsi="宋体" w:cs="宋体"/>
          <w:kern w:val="0"/>
          <w:sz w:val="28"/>
          <w:szCs w:val="28"/>
        </w:rPr>
      </w:pPr>
      <w:bookmarkStart w:id="20" w:name="_Toc26994"/>
      <w:bookmarkStart w:id="21" w:name="_Toc474759726"/>
      <w:r>
        <w:rPr>
          <w:rFonts w:hint="eastAsia" w:ascii="宋体" w:hAnsi="宋体" w:cs="宋体"/>
          <w:kern w:val="0"/>
          <w:sz w:val="28"/>
          <w:szCs w:val="28"/>
          <w:lang w:val="en-US" w:eastAsia="zh-CN"/>
        </w:rPr>
        <w:t xml:space="preserve">    </w:t>
      </w:r>
      <w:r>
        <w:rPr>
          <w:rFonts w:hint="eastAsia" w:ascii="宋体" w:hAnsi="宋体" w:cs="宋体"/>
          <w:kern w:val="0"/>
          <w:sz w:val="28"/>
          <w:szCs w:val="28"/>
        </w:rPr>
        <w:t>（四）验收标准</w:t>
      </w:r>
      <w:bookmarkEnd w:id="20"/>
    </w:p>
    <w:bookmarkEnd w:id="21"/>
    <w:p>
      <w:pPr>
        <w:rPr>
          <w:rFonts w:hint="eastAsia" w:ascii="宋体" w:hAnsi="宋体" w:cs="宋体"/>
          <w:kern w:val="0"/>
          <w:sz w:val="28"/>
          <w:szCs w:val="28"/>
        </w:rPr>
      </w:pPr>
      <w:r>
        <w:rPr>
          <w:rFonts w:hint="eastAsia" w:ascii="宋体" w:hAnsi="宋体" w:cs="宋体"/>
          <w:kern w:val="0"/>
          <w:sz w:val="28"/>
          <w:szCs w:val="28"/>
        </w:rPr>
        <w:t>成交供应商提供的服务未达到采购文件规定要求，且对采购人造成损失的，由成交供应商承担一切责任，并赔偿所造成的损失。</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1、验收方式</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1）货物到达现场后，使用单位人员应在供应商和质量监督员在场情况下当面进行感官检验、外观检验或试用检验等，若产品外观、包装、质量不能达到收货标准，采购人拒收配送物资，供应商应无条件迅速补充合格产品，不得影响正常开餐。对符合要求的产品当场作出记录，双方签字确认。</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（2）提供货物未达到</w:t>
      </w:r>
      <w:r>
        <w:rPr>
          <w:rFonts w:hint="eastAsia" w:ascii="宋体" w:hAnsi="宋体" w:cs="宋体"/>
          <w:kern w:val="0"/>
          <w:sz w:val="28"/>
          <w:szCs w:val="28"/>
          <w:lang w:val="en-US" w:eastAsia="zh-CN"/>
        </w:rPr>
        <w:t>招标</w:t>
      </w:r>
      <w:r>
        <w:rPr>
          <w:rFonts w:hint="eastAsia" w:ascii="宋体" w:hAnsi="宋体" w:cs="宋体"/>
          <w:kern w:val="0"/>
          <w:sz w:val="28"/>
          <w:szCs w:val="28"/>
        </w:rPr>
        <w:t>文件规定要求的，采购人向供应商出具服务不合格书面通知，对采购人造成损失的，由供应商承担一切责任，并赔偿所造成损失。</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（3）采购人组织定期或不定期货品抽检和送检。对检验不合格产品无条件退、换货外，需按双方约定予以处理。</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（4）因验收货物时不能直接判断质量的</w:t>
      </w:r>
      <w:r>
        <w:rPr>
          <w:rFonts w:hint="eastAsia" w:ascii="宋体" w:hAnsi="宋体" w:cs="宋体"/>
          <w:kern w:val="0"/>
          <w:sz w:val="28"/>
          <w:szCs w:val="28"/>
          <w:lang w:val="en-US" w:eastAsia="zh-CN"/>
        </w:rPr>
        <w:t>产品</w:t>
      </w:r>
      <w:r>
        <w:rPr>
          <w:rFonts w:hint="eastAsia" w:ascii="宋体" w:hAnsi="宋体" w:cs="宋体"/>
          <w:kern w:val="0"/>
          <w:sz w:val="28"/>
          <w:szCs w:val="28"/>
        </w:rPr>
        <w:t>，在使用过程中发现不合格商品，供应商应作退货处理。</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（5）凡按重量计量物资，均以物品净重方式计量结算。</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2、验收标准</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按招标文件“第三篇 谈判项目技术需求”中的“二、产品要求”执行。</w:t>
      </w:r>
    </w:p>
    <w:p>
      <w:pPr>
        <w:rPr>
          <w:rFonts w:hint="eastAsia" w:ascii="宋体" w:hAnsi="宋体" w:cs="宋体"/>
          <w:b/>
          <w:bCs/>
          <w:kern w:val="0"/>
          <w:sz w:val="28"/>
          <w:szCs w:val="28"/>
        </w:rPr>
      </w:pPr>
      <w:bookmarkStart w:id="22" w:name="_Toc9114"/>
      <w:r>
        <w:rPr>
          <w:rFonts w:hint="eastAsia" w:ascii="宋体" w:hAnsi="宋体" w:cs="宋体"/>
          <w:kern w:val="0"/>
          <w:sz w:val="28"/>
          <w:szCs w:val="28"/>
          <w:lang w:val="en-US" w:eastAsia="zh-CN"/>
        </w:rPr>
        <w:t xml:space="preserve">  </w:t>
      </w:r>
      <w:r>
        <w:rPr>
          <w:rFonts w:hint="eastAsia" w:ascii="宋体" w:hAnsi="宋体" w:cs="宋体"/>
          <w:b/>
          <w:bCs/>
          <w:kern w:val="0"/>
          <w:sz w:val="28"/>
          <w:szCs w:val="28"/>
          <w:lang w:val="en-US" w:eastAsia="zh-CN"/>
        </w:rPr>
        <w:t xml:space="preserve">  四</w:t>
      </w:r>
      <w:r>
        <w:rPr>
          <w:rFonts w:hint="eastAsia" w:ascii="宋体" w:hAnsi="宋体" w:cs="宋体"/>
          <w:b/>
          <w:bCs/>
          <w:kern w:val="0"/>
          <w:sz w:val="28"/>
          <w:szCs w:val="28"/>
        </w:rPr>
        <w:t>、</w:t>
      </w:r>
      <w:bookmarkStart w:id="23" w:name="_Toc474759728"/>
      <w:r>
        <w:rPr>
          <w:rFonts w:hint="eastAsia" w:ascii="宋体" w:hAnsi="宋体" w:cs="宋体"/>
          <w:b/>
          <w:bCs/>
          <w:kern w:val="0"/>
          <w:sz w:val="28"/>
          <w:szCs w:val="28"/>
        </w:rPr>
        <w:t>质量保证及售后服务</w:t>
      </w:r>
      <w:bookmarkEnd w:id="22"/>
    </w:p>
    <w:bookmarkEnd w:id="23"/>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（一）成交供应商应按竞争性磋商文件以及合同约定的服务内容、技术要求、质量标准向采购人提供食材购置服务及相关配合服务。</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（二）成交供应商配送物资必须符合食品安全法相关规定并在保质期内</w:t>
      </w:r>
      <w:r>
        <w:rPr>
          <w:rFonts w:hint="eastAsia" w:ascii="宋体" w:hAnsi="宋体" w:cs="宋体"/>
          <w:kern w:val="0"/>
          <w:sz w:val="28"/>
          <w:szCs w:val="28"/>
          <w:lang w:eastAsia="zh-CN"/>
        </w:rPr>
        <w:t>。</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（三）因成交供应商提供物资质量问题发生的食物中毒等事故，由供应商承担经济赔偿责任以及全部法律责任。</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（四）因市场特殊原因个别食材品种不能及时提供的，供应商应主动与采购人沟通协调，更换品种以满足需要。</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（五）物资验收中不合格产品，供应商按照采购人要求在规定时间内调换，不得影响采购人正常使用。</w:t>
      </w:r>
    </w:p>
    <w:p>
      <w:pPr>
        <w:rPr>
          <w:rFonts w:hint="eastAsia"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（六）合作期间，设专人对接工作，并保证周末及其他任何节假日24小时可联络到对接人。</w:t>
      </w:r>
    </w:p>
    <w:p>
      <w:pPr>
        <w:pStyle w:val="2"/>
        <w:ind w:firstLine="560" w:firstLineChars="200"/>
      </w:pPr>
    </w:p>
    <w:p>
      <w:pPr>
        <w:rPr>
          <w:rFonts w:ascii="宋体" w:hAnsi="宋体"/>
          <w:b/>
          <w:sz w:val="28"/>
          <w:szCs w:val="28"/>
        </w:rPr>
      </w:pPr>
      <w:r>
        <w:rPr>
          <w:rFonts w:hint="eastAsia" w:ascii="宋体" w:hAnsi="宋体" w:cs="方正仿宋_GBK"/>
          <w:bCs/>
          <w:sz w:val="28"/>
          <w:szCs w:val="28"/>
          <w:lang w:val="en-US" w:eastAsia="zh-CN"/>
        </w:rPr>
        <w:t xml:space="preserve">    五</w:t>
      </w:r>
      <w:r>
        <w:rPr>
          <w:rFonts w:hint="eastAsia" w:ascii="宋体" w:hAnsi="宋体" w:cs="方正仿宋_GBK"/>
          <w:bCs/>
          <w:sz w:val="28"/>
          <w:szCs w:val="28"/>
        </w:rPr>
        <w:t>、</w:t>
      </w:r>
      <w:r>
        <w:rPr>
          <w:rFonts w:hint="eastAsia" w:ascii="宋体" w:hAnsi="宋体"/>
          <w:b/>
          <w:sz w:val="28"/>
          <w:szCs w:val="28"/>
        </w:rPr>
        <w:t>付款方式和履约保证金</w:t>
      </w:r>
    </w:p>
    <w:p>
      <w:pPr>
        <w:rPr>
          <w:rFonts w:ascii="宋体" w:hAnsi="宋体" w:cs="宋体"/>
          <w:kern w:val="0"/>
          <w:sz w:val="28"/>
          <w:szCs w:val="28"/>
        </w:rPr>
      </w:pPr>
      <w:r>
        <w:rPr>
          <w:rFonts w:hint="eastAsia" w:ascii="宋体" w:hAnsi="宋体" w:cs="宋体"/>
          <w:kern w:val="0"/>
          <w:sz w:val="28"/>
          <w:szCs w:val="28"/>
          <w:lang w:val="en-US" w:eastAsia="zh-CN"/>
        </w:rPr>
        <w:t xml:space="preserve">   </w:t>
      </w:r>
      <w:r>
        <w:rPr>
          <w:rFonts w:hint="eastAsia" w:ascii="宋体" w:hAnsi="宋体" w:cs="宋体"/>
          <w:kern w:val="0"/>
          <w:sz w:val="28"/>
          <w:szCs w:val="28"/>
        </w:rPr>
        <w:t>（一）付款方式</w:t>
      </w:r>
    </w:p>
    <w:p>
      <w:pPr>
        <w:rPr>
          <w:rFonts w:ascii="宋体" w:hAnsi="宋体" w:cs="宋体"/>
          <w:kern w:val="0"/>
          <w:sz w:val="28"/>
          <w:szCs w:val="28"/>
        </w:rPr>
      </w:pPr>
      <w:r>
        <w:rPr>
          <w:rFonts w:hint="eastAsia" w:ascii="宋体" w:hAnsi="宋体" w:cs="宋体"/>
          <w:kern w:val="0"/>
          <w:sz w:val="28"/>
          <w:szCs w:val="28"/>
        </w:rPr>
        <w:t>结算形式为先送货后付款，所有订购</w:t>
      </w:r>
      <w:r>
        <w:rPr>
          <w:rFonts w:hint="eastAsia" w:ascii="宋体" w:hAnsi="宋体" w:cs="宋体"/>
          <w:kern w:val="0"/>
          <w:sz w:val="28"/>
          <w:szCs w:val="28"/>
          <w:lang w:val="en-US" w:eastAsia="zh-CN"/>
        </w:rPr>
        <w:t>的</w:t>
      </w:r>
      <w:r>
        <w:rPr>
          <w:rFonts w:hint="eastAsia" w:ascii="宋体" w:hAnsi="宋体" w:cs="宋体"/>
          <w:kern w:val="0"/>
          <w:sz w:val="28"/>
          <w:szCs w:val="28"/>
        </w:rPr>
        <w:t>配送单，经双方核对无误后，按定价周期每一个月结算一次。中标供应商送达正式发票后，在15个工作日内付款。</w:t>
      </w:r>
    </w:p>
    <w:p>
      <w:pP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（二）履约保证金</w:t>
      </w:r>
    </w:p>
    <w:p>
      <w:pPr>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1. 履约保证金金额（人民币）：壹仟元整。</w:t>
      </w:r>
      <w:r>
        <w:rPr>
          <w:rFonts w:hint="eastAsia" w:ascii="宋体" w:hAnsi="宋体" w:cs="方正仿宋_GBK"/>
          <w:sz w:val="28"/>
          <w:szCs w:val="28"/>
          <w:lang w:eastAsia="zh-CN"/>
        </w:rPr>
        <w:t>（</w:t>
      </w:r>
      <w:r>
        <w:rPr>
          <w:rFonts w:hint="eastAsia" w:ascii="宋体" w:hAnsi="宋体" w:cs="方正仿宋_GBK"/>
          <w:sz w:val="28"/>
          <w:szCs w:val="28"/>
          <w:lang w:val="en-US" w:eastAsia="zh-CN"/>
        </w:rPr>
        <w:t>每一个分包履约保证金收取1000，同时中标多个分包的，需分别缴纳</w:t>
      </w:r>
      <w:r>
        <w:rPr>
          <w:rFonts w:hint="eastAsia" w:ascii="宋体" w:hAnsi="宋体" w:cs="方正仿宋_GBK"/>
          <w:sz w:val="28"/>
          <w:szCs w:val="28"/>
          <w:lang w:eastAsia="zh-CN"/>
        </w:rPr>
        <w:t>）</w:t>
      </w:r>
    </w:p>
    <w:p>
      <w:pPr>
        <w:jc w:val="left"/>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2. 履约保证金时间及形式：</w:t>
      </w:r>
      <w:r>
        <w:rPr>
          <w:rFonts w:hint="eastAsia" w:ascii="宋体" w:hAnsi="宋体" w:cs="方正仿宋_GBK"/>
          <w:kern w:val="0"/>
          <w:sz w:val="28"/>
          <w:szCs w:val="28"/>
        </w:rPr>
        <w:t>中标人收到中标通知书后5日内与</w:t>
      </w:r>
      <w:r>
        <w:rPr>
          <w:rFonts w:hint="eastAsia" w:ascii="宋体" w:hAnsi="宋体" w:cs="方正仿宋_GBK"/>
          <w:sz w:val="28"/>
          <w:szCs w:val="28"/>
        </w:rPr>
        <w:t>招标人签订合同，</w:t>
      </w:r>
      <w:r>
        <w:rPr>
          <w:rFonts w:hint="eastAsia" w:ascii="宋体" w:hAnsi="宋体" w:cs="方正仿宋_GBK"/>
          <w:kern w:val="0"/>
          <w:sz w:val="28"/>
          <w:szCs w:val="28"/>
        </w:rPr>
        <w:t>合同签订前，</w:t>
      </w:r>
      <w:r>
        <w:rPr>
          <w:rFonts w:hint="eastAsia" w:ascii="宋体" w:hAnsi="宋体" w:cs="方正仿宋_GBK"/>
          <w:sz w:val="28"/>
          <w:szCs w:val="28"/>
        </w:rPr>
        <w:t>中标人协助招标人</w:t>
      </w:r>
      <w:r>
        <w:rPr>
          <w:rFonts w:hint="eastAsia" w:ascii="宋体" w:hAnsi="宋体" w:cs="方正仿宋_GBK"/>
          <w:kern w:val="0"/>
          <w:sz w:val="28"/>
          <w:szCs w:val="28"/>
        </w:rPr>
        <w:t>将</w:t>
      </w:r>
      <w:r>
        <w:rPr>
          <w:rFonts w:hint="eastAsia" w:ascii="宋体" w:hAnsi="宋体" w:cs="方正仿宋_GBK"/>
          <w:sz w:val="28"/>
          <w:szCs w:val="28"/>
        </w:rPr>
        <w:t>投标保证金转为履约保证金。</w:t>
      </w:r>
    </w:p>
    <w:p>
      <w:pPr>
        <w:jc w:val="left"/>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3. 履约保证金要求：未按要求办理保证金转换手续的将视为中标无效，招标人有权选择下一位投标人签订合同，并不退投标保证金。</w:t>
      </w:r>
    </w:p>
    <w:p>
      <w:pPr>
        <w:jc w:val="left"/>
        <w:rPr>
          <w:rFonts w:ascii="宋体" w:hAnsi="宋体" w:cs="方正仿宋_GBK"/>
          <w:sz w:val="28"/>
          <w:szCs w:val="28"/>
        </w:rPr>
      </w:pPr>
      <w:r>
        <w:rPr>
          <w:rFonts w:hint="eastAsia" w:ascii="宋体" w:hAnsi="宋体" w:cs="方正仿宋_GBK"/>
          <w:sz w:val="28"/>
          <w:szCs w:val="28"/>
          <w:lang w:val="en-US" w:eastAsia="zh-CN"/>
        </w:rPr>
        <w:t xml:space="preserve">    </w:t>
      </w:r>
      <w:r>
        <w:rPr>
          <w:rFonts w:hint="eastAsia" w:ascii="宋体" w:hAnsi="宋体" w:cs="方正仿宋_GBK"/>
          <w:sz w:val="28"/>
          <w:szCs w:val="28"/>
        </w:rPr>
        <w:t>4. 履约保证金退还：承包人在承包期内若无上述现象，承包期满，双方交接无误后10个工作日内由合川区人民医院向承包人银行基本账户无息转账退回（退款时投标人不用开具退款收据）。</w:t>
      </w:r>
    </w:p>
    <w:p>
      <w:pPr>
        <w:jc w:val="left"/>
        <w:rPr>
          <w:rFonts w:ascii="宋体" w:hAnsi="宋体" w:cs="方正仿宋_GBK"/>
          <w:b/>
          <w:sz w:val="28"/>
          <w:szCs w:val="28"/>
        </w:rPr>
      </w:pPr>
      <w:r>
        <w:rPr>
          <w:rFonts w:hint="eastAsia" w:ascii="宋体" w:hAnsi="宋体" w:cs="方正仿宋_GBK"/>
          <w:b/>
          <w:sz w:val="28"/>
          <w:szCs w:val="28"/>
          <w:lang w:val="en-US" w:eastAsia="zh-CN"/>
        </w:rPr>
        <w:t xml:space="preserve">    六</w:t>
      </w:r>
      <w:r>
        <w:rPr>
          <w:rFonts w:hint="eastAsia" w:ascii="宋体" w:hAnsi="宋体" w:cs="方正仿宋_GBK"/>
          <w:b/>
          <w:sz w:val="28"/>
          <w:szCs w:val="28"/>
        </w:rPr>
        <w:t>、解除合同要求</w:t>
      </w:r>
    </w:p>
    <w:p>
      <w:pPr>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1.配送的</w:t>
      </w:r>
      <w:r>
        <w:rPr>
          <w:rFonts w:hint="eastAsia" w:ascii="宋体" w:hAnsi="宋体"/>
          <w:sz w:val="28"/>
          <w:szCs w:val="28"/>
          <w:lang w:val="en-US" w:eastAsia="zh-CN"/>
        </w:rPr>
        <w:t>产品</w:t>
      </w:r>
      <w:r>
        <w:rPr>
          <w:rFonts w:hint="eastAsia" w:ascii="宋体" w:hAnsi="宋体"/>
          <w:sz w:val="28"/>
          <w:szCs w:val="28"/>
        </w:rPr>
        <w:t>不合格者，采购人可以拒绝验收，并要求2小时内重新配送，否则扣除当日货款10%/次，一个月累计三次者，采购人可以单方面解除合同。</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 由于中标供货商供货问题引发食品安全等方面的群体事件，由成交供应商全权负责，并采购人可以单方面解除合同。</w:t>
      </w:r>
    </w:p>
    <w:p>
      <w:pPr>
        <w:snapToGrid w:val="0"/>
        <w:spacing w:line="400" w:lineRule="exac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3. 中标人不按规定时间内配送货物，采购人扣除支付中标人当月货款100元/次，一个月累计三次者，采购人可以单方面解除合同。</w:t>
      </w:r>
    </w:p>
    <w:p>
      <w:pPr>
        <w:jc w:val="left"/>
        <w:rPr>
          <w:rFonts w:hint="eastAsia" w:ascii="宋体" w:hAnsi="宋体" w:cs="方正仿宋_GBK"/>
          <w:b/>
          <w:sz w:val="28"/>
          <w:szCs w:val="28"/>
          <w:lang w:val="en-US" w:eastAsia="zh-CN"/>
        </w:rPr>
      </w:pPr>
      <w:r>
        <w:rPr>
          <w:rFonts w:hint="eastAsia" w:ascii="宋体" w:hAnsi="宋体" w:cs="方正仿宋_GBK"/>
          <w:b/>
          <w:sz w:val="28"/>
          <w:szCs w:val="28"/>
          <w:lang w:val="en-US" w:eastAsia="zh-CN"/>
        </w:rPr>
        <w:t xml:space="preserve">    七、其他</w:t>
      </w:r>
      <w:bookmarkEnd w:id="16"/>
      <w:bookmarkEnd w:id="17"/>
      <w:bookmarkEnd w:id="18"/>
    </w:p>
    <w:p>
      <w:pPr>
        <w:jc w:val="left"/>
        <w:rPr>
          <w:rFonts w:hint="eastAsia" w:ascii="宋体" w:hAnsi="宋体" w:cs="方正仿宋_GBK"/>
          <w:b w:val="0"/>
          <w:bCs/>
          <w:sz w:val="28"/>
          <w:szCs w:val="28"/>
          <w:lang w:val="en-US" w:eastAsia="zh-CN"/>
        </w:rPr>
      </w:pPr>
      <w:r>
        <w:rPr>
          <w:rFonts w:hint="eastAsia" w:ascii="宋体" w:hAnsi="宋体" w:cs="方正仿宋_GBK"/>
          <w:b w:val="0"/>
          <w:bCs/>
          <w:sz w:val="28"/>
          <w:szCs w:val="28"/>
          <w:lang w:val="en-US" w:eastAsia="zh-CN"/>
        </w:rPr>
        <w:t xml:space="preserve">   （一）投标人必须在投标文件中对以上条款和服务承诺明确列出，承诺内容必须达到本篇及招标文件其他条款的要求。</w:t>
      </w:r>
    </w:p>
    <w:p>
      <w:pPr>
        <w:jc w:val="left"/>
        <w:rPr>
          <w:rFonts w:hint="eastAsia" w:ascii="宋体" w:hAnsi="宋体" w:cs="方正仿宋_GBK"/>
          <w:b w:val="0"/>
          <w:bCs/>
          <w:sz w:val="28"/>
          <w:szCs w:val="28"/>
          <w:lang w:val="en-US" w:eastAsia="zh-CN"/>
        </w:rPr>
      </w:pPr>
      <w:r>
        <w:rPr>
          <w:rFonts w:hint="eastAsia" w:ascii="宋体" w:hAnsi="宋体" w:cs="方正仿宋_GBK"/>
          <w:b w:val="0"/>
          <w:bCs/>
          <w:sz w:val="28"/>
          <w:szCs w:val="28"/>
          <w:lang w:val="en-US" w:eastAsia="zh-CN"/>
        </w:rPr>
        <w:t xml:space="preserve">   （二）其他未尽事宜由供需双方在采购合同中详细约定。</w:t>
      </w:r>
    </w:p>
    <w:p>
      <w:pPr>
        <w:pStyle w:val="2"/>
        <w:spacing w:line="360" w:lineRule="auto"/>
        <w:rPr>
          <w:rFonts w:ascii="方正小标宋_GBK" w:hAnsi="宋体" w:eastAsia="方正小标宋_GBK"/>
          <w:b w:val="0"/>
          <w:sz w:val="36"/>
          <w:szCs w:val="30"/>
        </w:rPr>
      </w:pPr>
      <w:r>
        <w:rPr>
          <w:rFonts w:hint="eastAsia" w:ascii="仿宋" w:hAnsi="仿宋" w:eastAsia="仿宋" w:cs="宋体"/>
          <w:kern w:val="0"/>
          <w:sz w:val="24"/>
          <w:szCs w:val="24"/>
        </w:rPr>
        <w:br w:type="page"/>
      </w:r>
      <w:r>
        <w:rPr>
          <w:rFonts w:hint="eastAsia" w:ascii="方正小标宋_GBK" w:hAnsi="宋体" w:eastAsia="方正小标宋_GBK"/>
          <w:b w:val="0"/>
          <w:sz w:val="36"/>
          <w:szCs w:val="30"/>
        </w:rPr>
        <w:t>第四篇  谈判程序及方法、评审标准、无效响应和</w:t>
      </w:r>
      <w:r>
        <w:rPr>
          <w:rFonts w:hint="eastAsia" w:ascii="方正小标宋_GBK" w:eastAsia="方正小标宋_GBK"/>
          <w:b w:val="0"/>
          <w:sz w:val="36"/>
          <w:szCs w:val="36"/>
        </w:rPr>
        <w:t>采购终止</w:t>
      </w:r>
      <w:bookmarkEnd w:id="19"/>
    </w:p>
    <w:p>
      <w:pPr>
        <w:pStyle w:val="3"/>
        <w:spacing w:line="440" w:lineRule="exact"/>
        <w:rPr>
          <w:rFonts w:ascii="方正仿宋_GBK" w:hAnsi="宋体" w:eastAsia="方正仿宋_GBK"/>
          <w:szCs w:val="32"/>
        </w:rPr>
      </w:pPr>
      <w:bookmarkStart w:id="24" w:name="_Toc480201036"/>
      <w:r>
        <w:rPr>
          <w:rFonts w:hint="eastAsia" w:ascii="方正仿宋_GBK" w:hAnsi="宋体" w:eastAsia="方正仿宋_GBK"/>
          <w:szCs w:val="32"/>
        </w:rPr>
        <w:t>一、谈判程序及方法</w:t>
      </w:r>
      <w:bookmarkEnd w:id="24"/>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（一）谈判按竞争性谈判文件规定的时间和地点进行，供应商须有法定代表人或其授权代表参加并签到。</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（二）谈判小组对各供应商的资格条件、响应文件的有效性、完整性和响应程度进行审查。各供应商只有在完全符合要求的前提下，才能参与正式谈判。</w:t>
      </w:r>
    </w:p>
    <w:p>
      <w:pPr>
        <w:snapToGrid w:val="0"/>
        <w:spacing w:line="400" w:lineRule="exact"/>
        <w:ind w:firstLine="560" w:firstLineChars="200"/>
        <w:rPr>
          <w:rFonts w:ascii="方正仿宋_GBK" w:hAnsi="宋体" w:eastAsia="方正仿宋_GBK" w:cs="宋体"/>
          <w:kern w:val="0"/>
          <w:szCs w:val="28"/>
        </w:rPr>
      </w:pPr>
      <w:r>
        <w:rPr>
          <w:rFonts w:hint="eastAsia" w:ascii="方正仿宋_GBK" w:hAnsi="宋体" w:eastAsia="方正仿宋_GBK"/>
          <w:szCs w:val="28"/>
        </w:rPr>
        <w:t>1、</w:t>
      </w:r>
      <w:r>
        <w:rPr>
          <w:rFonts w:hint="eastAsia" w:ascii="方正仿宋_GBK" w:hAnsi="宋体" w:eastAsia="方正仿宋_GBK" w:cs="宋体"/>
          <w:kern w:val="0"/>
          <w:szCs w:val="28"/>
        </w:rPr>
        <w:t>资格性检查。依据法律法规和竞争性谈判文件的规定，对响应文件中的资格证明、谈判保证金等进行审查，以确定供应商是否具备谈判资格。资格性检查资料表如下：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提供2019年度或2020年度财务状况报告（表）复印件，本年度新成立的公司提供提交响应文件截止时间前一个月的财务状况报告（表）复印件（新成立公司不足一个月的除外）。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注：本项目不接受联合体参与投标。</w:t>
      </w:r>
    </w:p>
    <w:p>
      <w:pPr>
        <w:snapToGrid w:val="0"/>
        <w:spacing w:line="400" w:lineRule="exact"/>
        <w:ind w:firstLine="560" w:firstLineChars="200"/>
        <w:rPr>
          <w:rFonts w:ascii="方正仿宋_GBK" w:eastAsia="方正仿宋_GBK"/>
          <w:kern w:val="0"/>
          <w:szCs w:val="28"/>
        </w:rPr>
      </w:pPr>
      <w:r>
        <w:rPr>
          <w:rFonts w:hint="eastAsia" w:ascii="方正仿宋_GBK" w:hAnsi="宋体" w:eastAsia="方正仿宋_GBK" w:cs="宋体"/>
          <w:kern w:val="0"/>
          <w:szCs w:val="28"/>
        </w:rPr>
        <w:t>2、符合性检查。依据竞争性谈判文件的规定，从响应文件的有效性、完整性和对竞争性谈判文件的响应程度进行审查，以确定是否对竞争性谈判文件的实质性要求作出响应。</w:t>
      </w:r>
      <w:r>
        <w:rPr>
          <w:rFonts w:hint="eastAsia" w:ascii="方正仿宋_GBK" w:eastAsia="方正仿宋_GBK"/>
          <w:kern w:val="0"/>
          <w:szCs w:val="28"/>
        </w:rPr>
        <w:t>符合性检查资料表如下：</w:t>
      </w:r>
    </w:p>
    <w:tbl>
      <w:tblPr>
        <w:tblW w:w="1006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198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710" w:type="dxa"/>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序号</w:t>
            </w:r>
          </w:p>
        </w:tc>
        <w:tc>
          <w:tcPr>
            <w:tcW w:w="3685" w:type="dxa"/>
            <w:gridSpan w:val="2"/>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评审因素</w:t>
            </w:r>
          </w:p>
        </w:tc>
        <w:tc>
          <w:tcPr>
            <w:tcW w:w="5670" w:type="dxa"/>
            <w:vAlign w:val="center"/>
          </w:tcPr>
          <w:p>
            <w:pPr>
              <w:spacing w:line="400" w:lineRule="exact"/>
              <w:jc w:val="center"/>
              <w:rPr>
                <w:rFonts w:ascii="方正仿宋_GBK" w:hAnsi="宋体" w:eastAsia="方正仿宋_GBK" w:cs="宋体"/>
                <w:b/>
                <w:kern w:val="0"/>
                <w:szCs w:val="28"/>
              </w:rPr>
            </w:pPr>
            <w:r>
              <w:rPr>
                <w:rFonts w:hint="eastAsia" w:ascii="方正仿宋_GBK" w:hAnsi="宋体" w:eastAsia="方正仿宋_GBK" w:cs="宋体"/>
                <w:b/>
                <w:kern w:val="0"/>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1</w:t>
            </w:r>
          </w:p>
        </w:tc>
        <w:tc>
          <w:tcPr>
            <w:tcW w:w="1701" w:type="dxa"/>
            <w:vMerge w:val="restart"/>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有效性审查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szCs w:val="28"/>
              </w:rPr>
              <w:t>响应文件签署</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szCs w:val="28"/>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szCs w:val="28"/>
              </w:rPr>
            </w:pPr>
            <w:r>
              <w:rPr>
                <w:rFonts w:hint="eastAsia" w:ascii="方正仿宋_GBK" w:hAnsi="宋体" w:eastAsia="方正仿宋_GBK"/>
                <w:szCs w:val="28"/>
              </w:rPr>
              <w:t>法定代表人身份证明及授权委托书</w:t>
            </w:r>
          </w:p>
        </w:tc>
        <w:tc>
          <w:tcPr>
            <w:tcW w:w="5670" w:type="dxa"/>
            <w:vAlign w:val="center"/>
          </w:tcPr>
          <w:p>
            <w:pPr>
              <w:spacing w:line="400" w:lineRule="exact"/>
              <w:rPr>
                <w:rFonts w:ascii="方正仿宋_GBK" w:hAnsi="宋体" w:eastAsia="方正仿宋_GBK"/>
                <w:szCs w:val="28"/>
              </w:rPr>
            </w:pPr>
            <w:r>
              <w:rPr>
                <w:rFonts w:hint="eastAsia" w:ascii="方正仿宋_GBK" w:hAnsi="宋体" w:eastAsia="方正仿宋_GBK"/>
                <w:szCs w:val="28"/>
              </w:rPr>
              <w:t>法定代表人身份证明及授权委托书有效，符合竞争性谈判文件规定的格式，签字或盖章齐全。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方案</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lang w:val="zh-CN"/>
              </w:rPr>
              <w:t>每个分包只能有一个</w:t>
            </w: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szCs w:val="28"/>
              </w:rPr>
              <w:t>报价唯一</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lang w:val="zh-CN"/>
              </w:rPr>
              <w:t>只能在采购预算范围内报价，</w:t>
            </w:r>
            <w:r>
              <w:rPr>
                <w:rFonts w:hint="eastAsia" w:ascii="方正仿宋_GBK" w:hAnsi="宋体" w:eastAsia="方正仿宋_GBK"/>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2</w:t>
            </w:r>
          </w:p>
        </w:tc>
        <w:tc>
          <w:tcPr>
            <w:tcW w:w="1701" w:type="dxa"/>
            <w:vMerge w:val="restart"/>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完整性审查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文件份数</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文件正、副本数量符合</w:t>
            </w:r>
            <w:r>
              <w:rPr>
                <w:rFonts w:hint="eastAsia" w:ascii="方正仿宋_GBK" w:hAnsi="宋体" w:eastAsia="方正仿宋_GBK" w:cs="仿宋_GB2312"/>
                <w:szCs w:val="28"/>
              </w:rPr>
              <w:t>竞争性谈判</w:t>
            </w:r>
            <w:r>
              <w:rPr>
                <w:rFonts w:hint="eastAsia" w:ascii="方正仿宋_GBK" w:hAnsi="宋体" w:eastAsia="方正仿宋_GBK" w:cs="仿宋_GB2312"/>
                <w:szCs w:val="28"/>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宋体"/>
                <w:kern w:val="0"/>
                <w:szCs w:val="28"/>
              </w:rPr>
            </w:pPr>
          </w:p>
        </w:tc>
        <w:tc>
          <w:tcPr>
            <w:tcW w:w="1984"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文件内容</w:t>
            </w:r>
          </w:p>
        </w:tc>
        <w:tc>
          <w:tcPr>
            <w:tcW w:w="5670" w:type="dxa"/>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仿宋_GB2312"/>
                <w:szCs w:val="28"/>
              </w:rPr>
              <w:t>响应</w:t>
            </w:r>
            <w:r>
              <w:rPr>
                <w:rFonts w:hint="eastAsia" w:ascii="方正仿宋_GBK" w:hAnsi="宋体" w:eastAsia="方正仿宋_GBK" w:cs="仿宋_GB2312"/>
                <w:szCs w:val="28"/>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10" w:type="dxa"/>
            <w:vMerge w:val="restart"/>
            <w:vAlign w:val="center"/>
          </w:tcPr>
          <w:p>
            <w:pPr>
              <w:spacing w:line="400" w:lineRule="exact"/>
              <w:jc w:val="center"/>
              <w:rPr>
                <w:rFonts w:ascii="方正仿宋_GBK" w:hAnsi="宋体" w:eastAsia="方正仿宋_GBK" w:cs="宋体"/>
                <w:kern w:val="0"/>
                <w:szCs w:val="28"/>
              </w:rPr>
            </w:pPr>
            <w:r>
              <w:rPr>
                <w:rFonts w:hint="eastAsia" w:ascii="方正仿宋_GBK" w:hAnsi="宋体" w:eastAsia="方正仿宋_GBK" w:cs="宋体"/>
                <w:kern w:val="0"/>
                <w:szCs w:val="28"/>
              </w:rPr>
              <w:t>3</w:t>
            </w:r>
          </w:p>
        </w:tc>
        <w:tc>
          <w:tcPr>
            <w:tcW w:w="1701" w:type="dxa"/>
            <w:vMerge w:val="restart"/>
            <w:vAlign w:val="center"/>
          </w:tcPr>
          <w:p>
            <w:pPr>
              <w:spacing w:line="400" w:lineRule="exact"/>
              <w:rPr>
                <w:rFonts w:ascii="方正仿宋_GBK" w:hAnsi="宋体" w:eastAsia="方正仿宋_GBK" w:cs="仿宋_GB2312"/>
                <w:szCs w:val="28"/>
                <w:lang w:val="zh-CN"/>
              </w:rPr>
            </w:pPr>
            <w:r>
              <w:rPr>
                <w:rFonts w:hint="eastAsia" w:ascii="方正仿宋_GBK" w:hAnsi="宋体" w:eastAsia="方正仿宋_GBK" w:cs="宋体"/>
                <w:kern w:val="0"/>
                <w:szCs w:val="28"/>
              </w:rPr>
              <w:t>竞争性谈判文件的响应程度审查</w:t>
            </w: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响应文件内容</w:t>
            </w:r>
          </w:p>
        </w:tc>
        <w:tc>
          <w:tcPr>
            <w:tcW w:w="5670" w:type="dxa"/>
            <w:vAlign w:val="center"/>
          </w:tcPr>
          <w:p>
            <w:pPr>
              <w:pStyle w:val="7"/>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对竞争性谈判文件</w:t>
            </w:r>
            <w:r>
              <w:rPr>
                <w:rFonts w:hint="eastAsia" w:ascii="方正仿宋_GBK" w:hAnsi="宋体" w:eastAsia="方正仿宋_GBK" w:cs="宋体"/>
                <w:kern w:val="0"/>
                <w:szCs w:val="28"/>
                <w:lang w:val="en-US" w:eastAsia="zh-CN"/>
              </w:rPr>
              <w:t>第二篇、</w:t>
            </w:r>
            <w:r>
              <w:rPr>
                <w:rFonts w:hint="eastAsia" w:ascii="方正仿宋_GBK" w:hAnsi="宋体" w:eastAsia="方正仿宋_GBK" w:cs="宋体"/>
                <w:kern w:val="0"/>
                <w:szCs w:val="28"/>
              </w:rPr>
              <w:t>第三篇规定的谈判内容作出响应。</w:t>
            </w:r>
            <w:r>
              <w:rPr>
                <w:rFonts w:hint="eastAsia" w:ascii="方正仿宋_GBK" w:hAnsi="宋体" w:eastAsia="方正仿宋_GBK" w:cs="宋体"/>
                <w:color w:val="FF0000"/>
                <w:kern w:val="0"/>
                <w:szCs w:val="28"/>
                <w:shd w:val="clear" w:color="FFFFFF" w:fill="D9D9D9"/>
                <w:lang w:eastAsia="zh-CN"/>
              </w:rPr>
              <w:t>（</w:t>
            </w:r>
            <w:r>
              <w:rPr>
                <w:rFonts w:hint="eastAsia" w:ascii="方正仿宋_GBK" w:hAnsi="宋体" w:eastAsia="方正仿宋_GBK" w:cs="宋体"/>
                <w:color w:val="FF0000"/>
                <w:kern w:val="0"/>
                <w:szCs w:val="28"/>
                <w:shd w:val="clear" w:color="FFFFFF" w:fill="D9D9D9"/>
                <w:lang w:val="en-US" w:eastAsia="zh-CN"/>
              </w:rPr>
              <w:t>响应所投分包的内容即可，所涉及的条款一条不满足即为不符合招标要求</w:t>
            </w:r>
            <w:r>
              <w:rPr>
                <w:rFonts w:hint="eastAsia" w:ascii="方正仿宋_GBK" w:hAnsi="宋体" w:eastAsia="方正仿宋_GBK" w:cs="宋体"/>
                <w:color w:val="FF0000"/>
                <w:kern w:val="0"/>
                <w:szCs w:val="28"/>
                <w:shd w:val="clear" w:color="FFFFFF" w:fill="D9D9D9"/>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10" w:type="dxa"/>
            <w:vMerge w:val="continue"/>
            <w:vAlign w:val="center"/>
          </w:tcPr>
          <w:p>
            <w:pPr>
              <w:spacing w:line="400" w:lineRule="exact"/>
              <w:jc w:val="center"/>
              <w:rPr>
                <w:rFonts w:ascii="方正仿宋_GBK" w:hAnsi="宋体" w:eastAsia="方正仿宋_GBK" w:cs="宋体"/>
                <w:kern w:val="0"/>
                <w:szCs w:val="28"/>
              </w:rPr>
            </w:pPr>
          </w:p>
        </w:tc>
        <w:tc>
          <w:tcPr>
            <w:tcW w:w="1701" w:type="dxa"/>
            <w:vMerge w:val="continue"/>
            <w:vAlign w:val="center"/>
          </w:tcPr>
          <w:p>
            <w:pPr>
              <w:spacing w:line="400" w:lineRule="exact"/>
              <w:rPr>
                <w:rFonts w:ascii="方正仿宋_GBK" w:hAnsi="宋体" w:eastAsia="方正仿宋_GBK" w:cs="仿宋_GB2312"/>
                <w:szCs w:val="28"/>
                <w:lang w:val="zh-CN"/>
              </w:rPr>
            </w:pPr>
          </w:p>
        </w:tc>
        <w:tc>
          <w:tcPr>
            <w:tcW w:w="1984"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谈判有效期</w:t>
            </w:r>
          </w:p>
        </w:tc>
        <w:tc>
          <w:tcPr>
            <w:tcW w:w="5670" w:type="dxa"/>
            <w:vAlign w:val="center"/>
          </w:tcPr>
          <w:p>
            <w:pPr>
              <w:spacing w:line="400" w:lineRule="exact"/>
              <w:rPr>
                <w:rFonts w:ascii="方正仿宋_GBK" w:hAnsi="宋体" w:eastAsia="方正仿宋_GBK" w:cs="宋体"/>
                <w:kern w:val="0"/>
                <w:szCs w:val="28"/>
              </w:rPr>
            </w:pPr>
            <w:r>
              <w:rPr>
                <w:rFonts w:hint="eastAsia" w:ascii="方正仿宋_GBK" w:hAnsi="宋体" w:eastAsia="方正仿宋_GBK" w:cs="宋体"/>
                <w:kern w:val="0"/>
                <w:szCs w:val="28"/>
              </w:rPr>
              <w:t>满足谈判文件</w:t>
            </w:r>
            <w:r>
              <w:rPr>
                <w:rFonts w:hint="eastAsia" w:ascii="方正仿宋_GBK" w:hAnsi="宋体" w:eastAsia="方正仿宋_GBK" w:cs="仿宋_GB2312"/>
                <w:szCs w:val="28"/>
                <w:lang w:val="zh-CN"/>
              </w:rPr>
              <w:t>规定。</w:t>
            </w:r>
          </w:p>
        </w:tc>
      </w:tr>
    </w:tbl>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（四）谈判小组要求供应商澄清、说明或者更正响应文件应当以书面形式作出。供应商的澄清、说明或者更正应当由法定代表人或其授权代表签字或者加盖公章。由授权代表签字的，应当附法定代表人授权书。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（五）在谈判过程中谈判的任何一方不得向他人透露与谈判有关的技术资料、价格或其他信息。</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（六）供应商在谈判时作出的所有书面承诺须由法定代表人或其授权代表签字。</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七）经谈判确定最终采购需求且谈判结束后，供应商应当按照竞争性谈判文件的变动情况和谈判小组的要求重新提交响应文件或重新做出相关的书面承诺，最后书面提交最后报价及有关承诺（填写《最后报价表》并密封提交）。</w:t>
      </w:r>
      <w:r>
        <w:rPr>
          <w:rFonts w:ascii="方正仿宋_GBK" w:hAnsi="宋体" w:eastAsia="方正仿宋_GBK"/>
          <w:szCs w:val="28"/>
        </w:rPr>
        <w:t>已提交响应文件</w:t>
      </w:r>
      <w:r>
        <w:rPr>
          <w:rFonts w:hint="eastAsia" w:ascii="方正仿宋_GBK" w:hAnsi="宋体" w:eastAsia="方正仿宋_GBK"/>
          <w:szCs w:val="28"/>
        </w:rPr>
        <w:t>但未在规定时间内进行最后报价</w:t>
      </w:r>
      <w:r>
        <w:rPr>
          <w:rFonts w:ascii="方正仿宋_GBK" w:hAnsi="宋体" w:eastAsia="方正仿宋_GBK"/>
          <w:szCs w:val="28"/>
        </w:rPr>
        <w:t>的供应商，</w:t>
      </w:r>
      <w:r>
        <w:rPr>
          <w:rFonts w:hint="eastAsia" w:ascii="方正仿宋_GBK" w:hAnsi="宋体" w:eastAsia="方正仿宋_GBK"/>
          <w:szCs w:val="28"/>
        </w:rPr>
        <w:t>视为放弃最后报价，以供应商响应文件中的报价为准。</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（八）</w:t>
      </w:r>
      <w:bookmarkStart w:id="25" w:name="_Toc480201037"/>
      <w:r>
        <w:rPr>
          <w:rFonts w:hint="eastAsia" w:ascii="方正仿宋_GBK" w:hAnsi="宋体" w:eastAsia="方正仿宋_GBK"/>
          <w:szCs w:val="28"/>
        </w:rPr>
        <w:t>供应商在谈判时作出的所有书面承诺须由法定代表人或其授权代表签字。</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九）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562" w:firstLineChars="200"/>
        <w:rPr>
          <w:rFonts w:ascii="方正仿宋_GBK" w:eastAsia="方正仿宋_GBK"/>
          <w:b/>
          <w:color w:val="000000"/>
          <w:szCs w:val="28"/>
        </w:rPr>
      </w:pPr>
      <w:r>
        <w:rPr>
          <w:rFonts w:hint="eastAsia" w:ascii="方正仿宋_GBK" w:hAnsi="宋体" w:eastAsia="方正仿宋_GBK"/>
          <w:b/>
          <w:color w:val="000000"/>
          <w:szCs w:val="28"/>
        </w:rPr>
        <w:t>二、</w:t>
      </w:r>
      <w:bookmarkEnd w:id="25"/>
      <w:bookmarkStart w:id="26" w:name="_Toc102227320"/>
      <w:bookmarkStart w:id="27" w:name="_Toc342913394"/>
      <w:r>
        <w:rPr>
          <w:rFonts w:hint="eastAsia" w:ascii="方正仿宋_GBK" w:eastAsia="方正仿宋_GBK"/>
          <w:b/>
          <w:color w:val="000000"/>
          <w:szCs w:val="28"/>
        </w:rPr>
        <w:t>评审依据</w:t>
      </w:r>
    </w:p>
    <w:p>
      <w:pPr>
        <w:spacing w:line="400" w:lineRule="exact"/>
        <w:ind w:firstLine="560" w:firstLineChars="200"/>
        <w:rPr>
          <w:rFonts w:ascii="方正仿宋_GBK" w:eastAsia="方正仿宋_GBK"/>
          <w:color w:val="000000"/>
          <w:szCs w:val="28"/>
        </w:rPr>
      </w:pPr>
      <w:r>
        <w:rPr>
          <w:rFonts w:hint="eastAsia" w:ascii="方正仿宋_GBK" w:eastAsia="方正仿宋_GBK"/>
          <w:color w:val="000000"/>
          <w:szCs w:val="28"/>
        </w:rPr>
        <w:t>评审的依据为竞争性谈判文件和响应文件（含有效的补充文件）。谈判小组判断响应文件对竞争性谈判文件的响应，仅基于响应文件本身而不靠外部证据。</w:t>
      </w:r>
    </w:p>
    <w:p>
      <w:pPr>
        <w:spacing w:line="400" w:lineRule="exact"/>
        <w:ind w:firstLine="562" w:firstLineChars="200"/>
        <w:rPr>
          <w:rFonts w:ascii="方正仿宋_GBK" w:hAnsi="宋体" w:eastAsia="方正仿宋_GBK"/>
          <w:b/>
          <w:color w:val="000000"/>
          <w:szCs w:val="28"/>
        </w:rPr>
      </w:pPr>
      <w:r>
        <w:rPr>
          <w:rFonts w:hint="eastAsia" w:ascii="方正仿宋_GBK" w:hAnsi="宋体" w:eastAsia="方正仿宋_GBK"/>
          <w:b/>
          <w:color w:val="000000"/>
          <w:szCs w:val="28"/>
        </w:rPr>
        <w:t>三、成交原则</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（一）评审办法</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1.谈判小组将依照本竞争性谈判文件相关规定对质量和服务均能满足竞争性谈判实质性响应要求的供应商所提交的最后报价按照由低到高的顺序提出3名成交候选人。</w:t>
      </w:r>
    </w:p>
    <w:p>
      <w:pPr>
        <w:spacing w:line="400" w:lineRule="exact"/>
        <w:ind w:firstLine="560" w:firstLineChars="200"/>
        <w:rPr>
          <w:rFonts w:ascii="方正仿宋_GBK" w:eastAsia="方正仿宋_GBK"/>
          <w:color w:val="000000"/>
          <w:szCs w:val="32"/>
        </w:rPr>
      </w:pPr>
      <w:r>
        <w:rPr>
          <w:rFonts w:hint="eastAsia" w:ascii="方正仿宋_GBK" w:eastAsia="方正仿宋_GBK"/>
          <w:color w:val="000000"/>
          <w:szCs w:val="32"/>
        </w:rPr>
        <w:t>2.若供应商的最后报价价格相同，按技术参数（条款）的优劣顺序排列；以上都相同的，按服务条款的优劣顺序排列。</w:t>
      </w:r>
    </w:p>
    <w:p>
      <w:pPr>
        <w:spacing w:line="400" w:lineRule="exact"/>
        <w:ind w:firstLine="560" w:firstLineChars="200"/>
        <w:rPr>
          <w:rFonts w:hint="eastAsia" w:ascii="方正仿宋_GBK" w:eastAsia="方正仿宋_GBK"/>
          <w:color w:val="000000"/>
          <w:szCs w:val="32"/>
        </w:rPr>
      </w:pPr>
      <w:r>
        <w:rPr>
          <w:rFonts w:hint="eastAsia" w:ascii="方正仿宋_GBK" w:eastAsia="方正仿宋_GBK"/>
          <w:color w:val="000000"/>
          <w:szCs w:val="32"/>
        </w:rPr>
        <w:t>3.成交价格=成交供应商的最后报价</w:t>
      </w:r>
    </w:p>
    <w:p>
      <w:pPr>
        <w:spacing w:line="400" w:lineRule="exact"/>
        <w:ind w:firstLine="560" w:firstLineChars="200"/>
        <w:rPr>
          <w:rFonts w:hint="eastAsia" w:ascii="方正仿宋_GBK" w:eastAsia="方正仿宋_GBK"/>
          <w:color w:val="000000"/>
          <w:szCs w:val="32"/>
          <w:lang w:val="en-US" w:eastAsia="zh-CN"/>
        </w:rPr>
      </w:pPr>
      <w:r>
        <w:rPr>
          <w:rFonts w:hint="eastAsia" w:ascii="方正仿宋_GBK" w:eastAsia="方正仿宋_GBK"/>
          <w:color w:val="000000"/>
          <w:szCs w:val="32"/>
          <w:lang w:eastAsia="zh-CN"/>
        </w:rPr>
        <w:t>（</w:t>
      </w:r>
      <w:r>
        <w:rPr>
          <w:rFonts w:hint="eastAsia" w:ascii="方正仿宋_GBK" w:eastAsia="方正仿宋_GBK"/>
          <w:color w:val="000000"/>
          <w:szCs w:val="32"/>
          <w:lang w:val="en-US" w:eastAsia="zh-CN"/>
        </w:rPr>
        <w:t>二</w:t>
      </w:r>
      <w:r>
        <w:rPr>
          <w:rFonts w:hint="eastAsia" w:ascii="方正仿宋_GBK" w:eastAsia="方正仿宋_GBK"/>
          <w:color w:val="000000"/>
          <w:szCs w:val="32"/>
          <w:lang w:eastAsia="zh-CN"/>
        </w:rPr>
        <w:t>）</w:t>
      </w:r>
      <w:r>
        <w:rPr>
          <w:rFonts w:hint="eastAsia" w:ascii="方正仿宋_GBK" w:eastAsia="方正仿宋_GBK"/>
          <w:color w:val="000000"/>
          <w:szCs w:val="32"/>
          <w:lang w:val="en-US" w:eastAsia="zh-CN"/>
        </w:rPr>
        <w:t>关于政策性扣减</w:t>
      </w:r>
    </w:p>
    <w:p>
      <w:pPr>
        <w:spacing w:line="400" w:lineRule="exact"/>
        <w:ind w:firstLine="560" w:firstLineChars="200"/>
        <w:rPr>
          <w:rFonts w:hint="eastAsia" w:ascii="方正仿宋_GBK" w:eastAsia="方正仿宋_GBK"/>
          <w:color w:val="000000"/>
          <w:szCs w:val="32"/>
        </w:rPr>
      </w:pPr>
      <w:r>
        <w:rPr>
          <w:rFonts w:hint="eastAsia" w:ascii="方正仿宋_GBK" w:eastAsia="方正仿宋_GBK"/>
          <w:color w:val="000000"/>
          <w:szCs w:val="32"/>
        </w:rPr>
        <w:t>1.投标人为非联合体投标的，对小微型企业给予</w:t>
      </w:r>
      <w:r>
        <w:rPr>
          <w:rFonts w:hint="eastAsia" w:ascii="方正仿宋_GBK" w:eastAsia="方正仿宋_GBK"/>
          <w:color w:val="000000"/>
          <w:szCs w:val="32"/>
          <w:lang w:val="en-US" w:eastAsia="zh-CN"/>
        </w:rPr>
        <w:t xml:space="preserve">   6  </w:t>
      </w:r>
      <w:r>
        <w:rPr>
          <w:rFonts w:hint="eastAsia" w:ascii="方正仿宋_GBK" w:eastAsia="方正仿宋_GBK"/>
          <w:color w:val="000000"/>
          <w:szCs w:val="32"/>
        </w:rPr>
        <w:t>%的扣除，以扣除后的报价参与评审。</w:t>
      </w:r>
    </w:p>
    <w:p>
      <w:pPr>
        <w:spacing w:line="400" w:lineRule="exact"/>
        <w:ind w:firstLine="560" w:firstLineChars="200"/>
        <w:rPr>
          <w:rFonts w:hint="eastAsia" w:ascii="方正仿宋_GBK" w:eastAsia="方正仿宋_GBK"/>
          <w:color w:val="000000"/>
          <w:szCs w:val="32"/>
          <w:lang w:val="en-US" w:eastAsia="zh-CN"/>
        </w:rPr>
      </w:pPr>
      <w:r>
        <w:rPr>
          <w:rFonts w:hint="eastAsia" w:ascii="方正仿宋_GBK" w:eastAsia="方正仿宋_GBK"/>
          <w:color w:val="000000"/>
          <w:szCs w:val="32"/>
        </w:rPr>
        <w:t>2.监狱企业、残疾人福利性单位属于微型企业的，应提供中小微企业声明函（详见第</w:t>
      </w:r>
      <w:r>
        <w:rPr>
          <w:rFonts w:hint="eastAsia" w:ascii="方正仿宋_GBK" w:eastAsia="方正仿宋_GBK"/>
          <w:color w:val="000000"/>
          <w:szCs w:val="32"/>
          <w:lang w:val="en-US" w:eastAsia="zh-CN"/>
        </w:rPr>
        <w:t>六</w:t>
      </w:r>
      <w:r>
        <w:rPr>
          <w:rFonts w:hint="eastAsia" w:ascii="方正仿宋_GBK" w:eastAsia="方正仿宋_GBK"/>
          <w:color w:val="000000"/>
          <w:szCs w:val="32"/>
        </w:rPr>
        <w:t>篇 “中小微企业声明函”）。未提供以上资料的监狱企业、残疾人福利性单位视同小型企业。</w:t>
      </w:r>
    </w:p>
    <w:p>
      <w:pPr>
        <w:pStyle w:val="3"/>
        <w:spacing w:line="400" w:lineRule="exact"/>
        <w:rPr>
          <w:rFonts w:ascii="方正仿宋_GBK" w:eastAsia="方正仿宋_GBK"/>
          <w:sz w:val="28"/>
          <w:szCs w:val="28"/>
        </w:rPr>
      </w:pPr>
      <w:bookmarkStart w:id="28" w:name="_Toc480201038"/>
      <w:r>
        <w:rPr>
          <w:rFonts w:hint="eastAsia" w:ascii="方正仿宋_GBK" w:eastAsia="方正仿宋_GBK"/>
          <w:sz w:val="28"/>
          <w:szCs w:val="28"/>
        </w:rPr>
        <w:t>四、无效响应</w:t>
      </w:r>
      <w:bookmarkEnd w:id="28"/>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供应商发生以下条款情况之一者，视为无效响应，其响应文件将被拒绝：</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（一）供应商不符合规定的基本资格条件或特定资格条件的；</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（二）供应商的法定代表人或其授权代表未参加谈判；</w:t>
      </w:r>
    </w:p>
    <w:p>
      <w:pPr>
        <w:snapToGrid w:val="0"/>
        <w:spacing w:line="400" w:lineRule="exact"/>
        <w:ind w:firstLine="465"/>
        <w:rPr>
          <w:rFonts w:ascii="方正仿宋_GBK" w:hAnsi="宋体" w:eastAsia="方正仿宋_GBK"/>
          <w:szCs w:val="28"/>
        </w:rPr>
      </w:pPr>
      <w:r>
        <w:rPr>
          <w:rFonts w:hint="eastAsia" w:ascii="方正仿宋_GBK" w:hAnsi="宋体" w:eastAsia="方正仿宋_GBK"/>
          <w:szCs w:val="28"/>
        </w:rPr>
        <w:t>（三）供应商所提交的响应文件不按第六篇“响应文件编制要求”编制或规定签字、盖章；</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（四）供应商的最后报价超过采购预算的；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（五）法定代表人为同一个人的两个及两个以上法人，母公司、全资子公司及其控股公司，在同一分包采购中同时参与谈判；</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（六）供应商响应文件内容有与国家现行法律法规相违背的内容，或附有采购人无法接受的条件。</w:t>
      </w:r>
    </w:p>
    <w:p>
      <w:pPr>
        <w:pStyle w:val="3"/>
        <w:spacing w:line="400" w:lineRule="exact"/>
        <w:rPr>
          <w:rFonts w:ascii="方正仿宋_GBK" w:hAnsi="方正仿宋_GBK" w:eastAsia="方正仿宋_GBK" w:cs="方正仿宋_GBK"/>
          <w:sz w:val="28"/>
          <w:szCs w:val="28"/>
        </w:rPr>
      </w:pPr>
      <w:bookmarkStart w:id="29" w:name="_Toc480201039"/>
      <w:r>
        <w:rPr>
          <w:rFonts w:hint="eastAsia" w:ascii="方正仿宋_GBK" w:hAnsi="方正仿宋_GBK" w:eastAsia="方正仿宋_GBK" w:cs="方正仿宋_GBK"/>
          <w:sz w:val="28"/>
          <w:szCs w:val="28"/>
        </w:rPr>
        <w:t>五、</w:t>
      </w:r>
      <w:bookmarkEnd w:id="26"/>
      <w:bookmarkEnd w:id="27"/>
      <w:r>
        <w:rPr>
          <w:rFonts w:hint="eastAsia" w:ascii="方正仿宋_GBK" w:hAnsi="方正仿宋_GBK" w:eastAsia="方正仿宋_GBK" w:cs="方正仿宋_GBK"/>
          <w:sz w:val="28"/>
          <w:szCs w:val="28"/>
        </w:rPr>
        <w:t>采购终止</w:t>
      </w:r>
      <w:bookmarkEnd w:id="29"/>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出现下列情形之一的，采购人或者采购代理机构应当终止竞争性谈判采购活动，发布项目终止公告并说明原因，重新开展采购活动：</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（一）因情况变化，不再符合规定的竞争性谈判采购方式适用情形的；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（二）出现影响采购公正的违法、违规行为的；</w:t>
      </w:r>
    </w:p>
    <w:p>
      <w:pPr>
        <w:snapToGrid w:val="0"/>
        <w:spacing w:line="400" w:lineRule="exact"/>
        <w:ind w:firstLine="465"/>
        <w:rPr>
          <w:rFonts w:ascii="方正仿宋_GBK" w:hAnsi="方正仿宋_GBK" w:eastAsia="方正仿宋_GBK" w:cs="方正仿宋_GBK"/>
          <w:szCs w:val="28"/>
        </w:rPr>
      </w:pPr>
      <w:r>
        <w:rPr>
          <w:rFonts w:hint="eastAsia" w:ascii="方正仿宋_GBK" w:hAnsi="方正仿宋_GBK" w:eastAsia="方正仿宋_GBK" w:cs="方正仿宋_GBK"/>
          <w:szCs w:val="28"/>
        </w:rPr>
        <w:t>（三）</w:t>
      </w:r>
      <w:bookmarkStart w:id="30" w:name="_Toc480201040"/>
      <w:bookmarkStart w:id="31" w:name="_Toc102227313"/>
      <w:r>
        <w:rPr>
          <w:rFonts w:hint="eastAsia" w:ascii="方正仿宋_GBK" w:hAnsi="方正仿宋_GBK" w:eastAsia="方正仿宋_GBK" w:cs="方正仿宋_GBK"/>
          <w:szCs w:val="28"/>
        </w:rPr>
        <w:t>在采购过程中符合竞争要求的供应商或者报价未超过采购预算的供应商不足3家的，但《政府采购非招标采购方式管理办法》第二十七条第二款规定的情形除外。</w:t>
      </w:r>
    </w:p>
    <w:p>
      <w:pPr>
        <w:widowControl/>
        <w:jc w:val="left"/>
        <w:rPr>
          <w:rFonts w:ascii="方正黑体_GBK" w:hAnsi="方正黑体_GBK" w:eastAsia="方正黑体_GBK" w:cs="方正黑体_GBK"/>
          <w:sz w:val="44"/>
          <w:szCs w:val="44"/>
        </w:rPr>
      </w:pPr>
      <w:r>
        <w:rPr>
          <w:rFonts w:ascii="方正黑体_GBK" w:hAnsi="方正黑体_GBK" w:eastAsia="方正黑体_GBK" w:cs="方正黑体_GBK"/>
          <w:sz w:val="44"/>
          <w:szCs w:val="44"/>
        </w:rPr>
        <w:br w:type="page"/>
      </w:r>
    </w:p>
    <w:p>
      <w:pPr>
        <w:ind w:firstLine="1760" w:firstLineChars="400"/>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第五篇  供应商须知</w:t>
      </w:r>
      <w:bookmarkEnd w:id="30"/>
      <w:bookmarkEnd w:id="31"/>
    </w:p>
    <w:p>
      <w:pPr>
        <w:pStyle w:val="3"/>
        <w:spacing w:line="440" w:lineRule="exact"/>
        <w:rPr>
          <w:rFonts w:ascii="方正仿宋_GBK" w:eastAsia="方正仿宋_GBK"/>
          <w:sz w:val="28"/>
          <w:szCs w:val="28"/>
        </w:rPr>
      </w:pPr>
      <w:bookmarkStart w:id="32" w:name="_Toc480201041"/>
      <w:bookmarkStart w:id="33" w:name="_Toc342913389"/>
      <w:r>
        <w:rPr>
          <w:rFonts w:hint="eastAsia" w:ascii="方正仿宋_GBK" w:eastAsia="方正仿宋_GBK"/>
          <w:sz w:val="28"/>
          <w:szCs w:val="28"/>
        </w:rPr>
        <w:t>一、谈判费用</w:t>
      </w:r>
      <w:bookmarkEnd w:id="32"/>
      <w:bookmarkEnd w:id="33"/>
    </w:p>
    <w:p>
      <w:pPr>
        <w:pStyle w:val="18"/>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参与</w:t>
      </w:r>
      <w:r>
        <w:rPr>
          <w:rFonts w:hint="eastAsia" w:ascii="方正仿宋_GBK" w:eastAsia="方正仿宋_GBK"/>
          <w:sz w:val="28"/>
          <w:szCs w:val="28"/>
        </w:rPr>
        <w:t>谈判</w:t>
      </w:r>
      <w:r>
        <w:rPr>
          <w:rFonts w:hint="eastAsia" w:ascii="方正仿宋_GBK" w:hAnsi="宋体" w:eastAsia="方正仿宋_GBK"/>
          <w:sz w:val="28"/>
          <w:szCs w:val="28"/>
        </w:rPr>
        <w:t>的供应商应承担其编制响应文件与递交响应文件所涉及的一切费用，不论</w:t>
      </w:r>
      <w:r>
        <w:rPr>
          <w:rFonts w:hint="eastAsia" w:ascii="方正仿宋_GBK" w:eastAsia="方正仿宋_GBK"/>
          <w:sz w:val="28"/>
          <w:szCs w:val="28"/>
        </w:rPr>
        <w:t>谈判</w:t>
      </w:r>
      <w:r>
        <w:rPr>
          <w:rFonts w:hint="eastAsia" w:ascii="方正仿宋_GBK" w:hAnsi="宋体" w:eastAsia="方正仿宋_GBK"/>
          <w:sz w:val="28"/>
          <w:szCs w:val="28"/>
        </w:rPr>
        <w:t>结果如何，采购人和采购代理机构在任何情况下无义务也无责任承担这些费用。</w:t>
      </w:r>
    </w:p>
    <w:p>
      <w:pPr>
        <w:pStyle w:val="3"/>
        <w:tabs>
          <w:tab w:val="left" w:pos="2640"/>
        </w:tabs>
        <w:spacing w:line="400" w:lineRule="exact"/>
        <w:rPr>
          <w:rFonts w:ascii="方正仿宋_GBK" w:eastAsia="方正仿宋_GBK"/>
          <w:sz w:val="28"/>
          <w:szCs w:val="28"/>
        </w:rPr>
      </w:pPr>
      <w:bookmarkStart w:id="34" w:name="_Toc342913391"/>
      <w:bookmarkStart w:id="35" w:name="_Toc480201042"/>
      <w:r>
        <w:rPr>
          <w:rFonts w:hint="eastAsia" w:ascii="方正仿宋_GBK" w:eastAsia="方正仿宋_GBK"/>
          <w:sz w:val="28"/>
          <w:szCs w:val="28"/>
        </w:rPr>
        <w:t>二、竞争性谈判文件</w:t>
      </w:r>
      <w:bookmarkEnd w:id="34"/>
      <w:bookmarkEnd w:id="35"/>
    </w:p>
    <w:p>
      <w:pPr>
        <w:snapToGrid w:val="0"/>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（一）竞争性谈判文件由采购邀请书、</w:t>
      </w:r>
      <w:r>
        <w:rPr>
          <w:rFonts w:hint="eastAsia" w:ascii="方正仿宋_GBK" w:hAnsi="宋体" w:eastAsia="方正仿宋_GBK"/>
          <w:szCs w:val="28"/>
          <w:lang w:val="en-US" w:eastAsia="zh-CN"/>
        </w:rPr>
        <w:t>谈判项目技术</w:t>
      </w:r>
      <w:r>
        <w:rPr>
          <w:rFonts w:hint="eastAsia" w:ascii="方正仿宋_GBK" w:hAnsi="宋体" w:eastAsia="方正仿宋_GBK"/>
          <w:szCs w:val="28"/>
        </w:rPr>
        <w:t>需求、</w:t>
      </w:r>
      <w:r>
        <w:rPr>
          <w:rFonts w:hint="eastAsia" w:ascii="方正仿宋_GBK" w:hAnsi="宋体" w:eastAsia="方正仿宋_GBK"/>
          <w:szCs w:val="28"/>
          <w:lang w:val="en-US" w:eastAsia="zh-CN"/>
        </w:rPr>
        <w:t>谈判项目</w:t>
      </w:r>
      <w:r>
        <w:rPr>
          <w:rFonts w:hint="eastAsia" w:ascii="方正仿宋_GBK" w:hAnsi="宋体" w:eastAsia="方正仿宋_GBK"/>
          <w:szCs w:val="28"/>
        </w:rPr>
        <w:t>商务需求、谈判程序、</w:t>
      </w:r>
      <w:r>
        <w:rPr>
          <w:rFonts w:hint="eastAsia" w:ascii="方正仿宋_GBK" w:hAnsi="宋体" w:eastAsia="方正仿宋_GBK"/>
          <w:szCs w:val="28"/>
          <w:lang w:val="en-US" w:eastAsia="zh-CN"/>
        </w:rPr>
        <w:t>供应商须知</w:t>
      </w:r>
      <w:r>
        <w:rPr>
          <w:rFonts w:hint="eastAsia" w:ascii="方正仿宋_GBK" w:hAnsi="宋体" w:eastAsia="方正仿宋_GBK"/>
          <w:szCs w:val="28"/>
        </w:rPr>
        <w:t>、响应文件编制要求六部分组成。</w:t>
      </w:r>
    </w:p>
    <w:p>
      <w:pPr>
        <w:snapToGrid w:val="0"/>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（二）采购人（或采购代理机构）所作的一切有效的书面通知、修改及补充，都是竞争性谈判文件不可分割的部分。</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（三）</w:t>
      </w:r>
      <w:bookmarkStart w:id="36" w:name="_Toc318159780"/>
      <w:bookmarkStart w:id="37" w:name="_Toc318166429"/>
      <w:bookmarkStart w:id="38" w:name="_Toc318159160"/>
      <w:bookmarkStart w:id="39" w:name="_Toc318159349"/>
      <w:r>
        <w:rPr>
          <w:rFonts w:hint="eastAsia" w:ascii="方正仿宋_GBK" w:hAnsi="宋体" w:eastAsia="方正仿宋_GBK"/>
          <w:color w:val="000000"/>
          <w:szCs w:val="28"/>
        </w:rPr>
        <w:t>评审的依据为竞争性谈判文件和响应文件（含有效的书</w:t>
      </w:r>
      <w:r>
        <w:rPr>
          <w:rFonts w:hint="eastAsia" w:ascii="方正仿宋_GBK" w:hAnsi="宋体" w:eastAsia="方正仿宋_GBK"/>
          <w:szCs w:val="28"/>
        </w:rPr>
        <w:t>面承诺）。谈判小组判断响应文件对竞争性谈判文件的响应，仅基于响应文件本身而不靠外部证据。</w:t>
      </w:r>
    </w:p>
    <w:bookmarkEnd w:id="36"/>
    <w:bookmarkEnd w:id="37"/>
    <w:bookmarkEnd w:id="38"/>
    <w:bookmarkEnd w:id="39"/>
    <w:p>
      <w:pPr>
        <w:pStyle w:val="3"/>
        <w:spacing w:line="400" w:lineRule="exact"/>
        <w:rPr>
          <w:rFonts w:ascii="方正仿宋_GBK" w:eastAsia="方正仿宋_GBK"/>
          <w:sz w:val="28"/>
          <w:szCs w:val="28"/>
        </w:rPr>
      </w:pPr>
      <w:bookmarkStart w:id="40" w:name="_Toc179714297"/>
      <w:bookmarkStart w:id="41" w:name="_Toc480201043"/>
      <w:bookmarkStart w:id="42" w:name="_Toc342913392"/>
      <w:bookmarkStart w:id="43" w:name="_Toc102227318"/>
      <w:r>
        <w:rPr>
          <w:rFonts w:hint="eastAsia" w:ascii="方正仿宋_GBK" w:eastAsia="方正仿宋_GBK"/>
          <w:sz w:val="28"/>
          <w:szCs w:val="28"/>
        </w:rPr>
        <w:t>三、谈判要求</w:t>
      </w:r>
      <w:bookmarkEnd w:id="40"/>
      <w:bookmarkEnd w:id="41"/>
      <w:bookmarkEnd w:id="42"/>
      <w:bookmarkEnd w:id="43"/>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（一）响应文件</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1、供应商应当按照竞争性谈判文件的要求编制响应文件，并对竞争性谈判文件提出的要求和条件作出实质性响应，响应文件原则上采用软面订本，同时应编制完整的页码、目录。</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2、响应文件组成</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560" w:firstLineChars="200"/>
        <w:rPr>
          <w:rFonts w:ascii="方正仿宋_GBK" w:hAnsi="宋体" w:eastAsia="方正仿宋_GBK"/>
          <w:szCs w:val="28"/>
        </w:rPr>
      </w:pPr>
      <w:r>
        <w:rPr>
          <w:rFonts w:hint="eastAsia" w:ascii="方正仿宋_GBK" w:hAnsi="宋体" w:eastAsia="方正仿宋_GBK"/>
          <w:szCs w:val="28"/>
        </w:rPr>
        <w:t>（二）谈判有效期：响应文件及有关承诺文件有效期为提交响应文件截止时间起90天。</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（三））提交响应文件的份数和签署</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1、响应</w:t>
      </w:r>
      <w:r>
        <w:rPr>
          <w:rFonts w:hint="eastAsia" w:ascii="方正仿宋_GBK" w:hAnsi="方正仿宋_GBK" w:eastAsia="方正仿宋_GBK" w:cs="方正仿宋_GBK"/>
          <w:szCs w:val="28"/>
          <w:lang w:val="en-US" w:eastAsia="zh-CN"/>
        </w:rPr>
        <w:t>文件</w:t>
      </w:r>
      <w:r>
        <w:rPr>
          <w:rFonts w:hint="eastAsia" w:ascii="方正仿宋_GBK" w:hAnsi="方正仿宋_GBK" w:eastAsia="方正仿宋_GBK" w:cs="方正仿宋_GBK"/>
          <w:szCs w:val="28"/>
        </w:rPr>
        <w:t>一式两份，其中正本一份，副本一份（注明正副本）；副本可为正本的复印件，应与正本一致，如出现不一致情况以正本为准。</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2、在响应文件正本中，竞争性谈判文件第</w:t>
      </w:r>
      <w:r>
        <w:rPr>
          <w:rFonts w:hint="eastAsia" w:ascii="方正仿宋_GBK" w:hAnsi="方正仿宋_GBK" w:eastAsia="方正仿宋_GBK" w:cs="方正仿宋_GBK"/>
          <w:szCs w:val="28"/>
          <w:lang w:val="en-US" w:eastAsia="zh-CN"/>
        </w:rPr>
        <w:t>六</w:t>
      </w:r>
      <w:r>
        <w:rPr>
          <w:rFonts w:hint="eastAsia" w:ascii="方正仿宋_GBK" w:hAnsi="方正仿宋_GBK" w:eastAsia="方正仿宋_GBK" w:cs="方正仿宋_GBK"/>
          <w:szCs w:val="28"/>
        </w:rPr>
        <w:t>篇响应文件编制要求中规定签字、盖章的地方必须按其规定签字、盖章。</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（四）响应文件的递交</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 响应文件的密封</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1.1</w:t>
      </w:r>
      <w:r>
        <w:rPr>
          <w:rFonts w:hint="eastAsia" w:ascii="方正仿宋_GBK" w:hAnsi="方正仿宋_GBK" w:eastAsia="方正仿宋_GBK" w:cs="方正仿宋_GBK"/>
          <w:szCs w:val="28"/>
          <w:lang w:val="en-US" w:eastAsia="zh-CN"/>
        </w:rPr>
        <w:t>经济文件单独封装，技术、商务、资质及其他文件一起封装。</w:t>
      </w:r>
      <w:r>
        <w:rPr>
          <w:rFonts w:hint="eastAsia" w:ascii="方正仿宋_GBK" w:hAnsi="方正仿宋_GBK" w:eastAsia="方正仿宋_GBK" w:cs="方正仿宋_GBK"/>
          <w:szCs w:val="28"/>
        </w:rPr>
        <w:t>响应文件的正本、副本应密封送达递交响应文件地点，应在封套上注明项目名称、</w:t>
      </w:r>
      <w:r>
        <w:rPr>
          <w:rFonts w:hint="eastAsia" w:ascii="方正仿宋_GBK" w:hAnsi="方正仿宋_GBK" w:eastAsia="方正仿宋_GBK" w:cs="方正仿宋_GBK"/>
          <w:szCs w:val="28"/>
          <w:lang w:val="en-US" w:eastAsia="zh-CN"/>
        </w:rPr>
        <w:t>分包号、</w:t>
      </w:r>
      <w:r>
        <w:rPr>
          <w:rFonts w:hint="eastAsia" w:ascii="方正仿宋_GBK" w:hAnsi="方正仿宋_GBK" w:eastAsia="方正仿宋_GBK" w:cs="方正仿宋_GBK"/>
          <w:szCs w:val="28"/>
        </w:rPr>
        <w:t>供应商名称。</w:t>
      </w:r>
      <w:r>
        <w:rPr>
          <w:rFonts w:hint="eastAsia" w:ascii="方正仿宋_GBK" w:hAnsi="方正仿宋_GBK" w:eastAsia="方正仿宋_GBK" w:cs="方正仿宋_GBK"/>
          <w:szCs w:val="28"/>
          <w:lang w:val="en-US" w:eastAsia="zh-CN"/>
        </w:rPr>
        <w:t>正副本可以一起封装，</w:t>
      </w:r>
      <w:r>
        <w:rPr>
          <w:rFonts w:hint="eastAsia" w:ascii="方正仿宋_GBK" w:hAnsi="方正仿宋_GBK" w:eastAsia="方正仿宋_GBK" w:cs="方正仿宋_GBK"/>
          <w:szCs w:val="28"/>
        </w:rPr>
        <w:t>若正本、副本文档分别进行密封的，还应在封套上注明“正本”、“副本”字样。</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1.2封套的封口处应加盖供应商公章或由法定代表人授权代表签字。</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2.如果未按上述规定进行密封，采购代理机构对响应文件误投、丢失或提前拆封不负责任。</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（五）供应商参与人员</w:t>
      </w:r>
    </w:p>
    <w:p>
      <w:pPr>
        <w:snapToGrid w:val="0"/>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各个供应商应当派1-2名代表参与谈判，至少1人应为法定代表人或具有法定代表人授权委托书的授权代表。</w:t>
      </w:r>
    </w:p>
    <w:p>
      <w:pPr>
        <w:pStyle w:val="3"/>
        <w:spacing w:line="480" w:lineRule="exact"/>
        <w:rPr>
          <w:rFonts w:ascii="方正仿宋_GBK" w:hAnsi="方正仿宋_GBK" w:eastAsia="方正仿宋_GBK" w:cs="方正仿宋_GBK"/>
          <w:sz w:val="28"/>
          <w:szCs w:val="28"/>
        </w:rPr>
      </w:pPr>
      <w:bookmarkStart w:id="44" w:name="_Toc480201044"/>
      <w:r>
        <w:rPr>
          <w:rFonts w:hint="eastAsia" w:ascii="方正仿宋_GBK" w:hAnsi="方正仿宋_GBK" w:eastAsia="方正仿宋_GBK" w:cs="方正仿宋_GBK"/>
          <w:sz w:val="28"/>
          <w:szCs w:val="28"/>
        </w:rPr>
        <w:t>四、成交</w:t>
      </w:r>
      <w:bookmarkEnd w:id="44"/>
      <w:r>
        <w:rPr>
          <w:rFonts w:hint="eastAsia" w:ascii="方正仿宋_GBK" w:hAnsi="方正仿宋_GBK" w:eastAsia="方正仿宋_GBK" w:cs="方正仿宋_GBK"/>
          <w:sz w:val="28"/>
          <w:szCs w:val="28"/>
        </w:rPr>
        <w:t>通知</w:t>
      </w:r>
    </w:p>
    <w:p>
      <w:pPr>
        <w:spacing w:line="48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（一）采购人在成交供应商确定后2个工作日内，在行采家网（https://www.gec123.com/）站上公示1个工作日。</w:t>
      </w:r>
    </w:p>
    <w:p>
      <w:pPr>
        <w:spacing w:line="400" w:lineRule="exact"/>
        <w:ind w:firstLine="560" w:firstLineChars="200"/>
        <w:rPr>
          <w:rFonts w:ascii="方正仿宋_GBK" w:hAnsi="方正仿宋_GBK" w:eastAsia="方正仿宋_GBK" w:cs="方正仿宋_GBK"/>
          <w:szCs w:val="28"/>
        </w:rPr>
      </w:pPr>
      <w:r>
        <w:rPr>
          <w:rFonts w:hint="eastAsia" w:ascii="方正仿宋_GBK" w:hAnsi="方正仿宋_GBK" w:eastAsia="方正仿宋_GBK" w:cs="方正仿宋_GBK"/>
          <w:szCs w:val="28"/>
        </w:rPr>
        <w:t>（二）如果供应商对成交结果提出质疑的，请在公告期限内联系采购人。</w:t>
      </w:r>
    </w:p>
    <w:p>
      <w:pPr>
        <w:pStyle w:val="3"/>
        <w:spacing w:line="400" w:lineRule="exact"/>
        <w:rPr>
          <w:rFonts w:ascii="方正仿宋_GBK" w:hAnsi="方正仿宋_GBK" w:eastAsia="方正仿宋_GBK" w:cs="方正仿宋_GBK"/>
          <w:sz w:val="28"/>
          <w:szCs w:val="28"/>
        </w:rPr>
      </w:pPr>
      <w:bookmarkStart w:id="45" w:name="_Toc466546931"/>
      <w:bookmarkStart w:id="46" w:name="_Toc480201047"/>
      <w:r>
        <w:rPr>
          <w:rFonts w:hint="eastAsia" w:ascii="方正仿宋_GBK" w:hAnsi="方正仿宋_GBK" w:eastAsia="方正仿宋_GBK" w:cs="方正仿宋_GBK"/>
          <w:sz w:val="28"/>
          <w:szCs w:val="28"/>
        </w:rPr>
        <w:t>五、</w:t>
      </w:r>
      <w:bookmarkStart w:id="47" w:name="_Toc102227322"/>
      <w:bookmarkStart w:id="48" w:name="_Toc342913396"/>
      <w:bookmarkStart w:id="49" w:name="_Toc11641055"/>
      <w:bookmarkStart w:id="50" w:name="_Toc12789059"/>
      <w:bookmarkEnd w:id="45"/>
      <w:r>
        <w:rPr>
          <w:rFonts w:hint="eastAsia" w:ascii="方正仿宋_GBK" w:hAnsi="方正仿宋_GBK" w:eastAsia="方正仿宋_GBK" w:cs="方正仿宋_GBK"/>
          <w:sz w:val="28"/>
          <w:szCs w:val="28"/>
        </w:rPr>
        <w:t>签订</w:t>
      </w:r>
      <w:bookmarkEnd w:id="47"/>
      <w:r>
        <w:rPr>
          <w:rFonts w:hint="eastAsia" w:ascii="方正仿宋_GBK" w:hAnsi="方正仿宋_GBK" w:eastAsia="方正仿宋_GBK" w:cs="方正仿宋_GBK"/>
          <w:sz w:val="28"/>
          <w:szCs w:val="28"/>
        </w:rPr>
        <w:t>合同</w:t>
      </w:r>
      <w:bookmarkEnd w:id="46"/>
      <w:bookmarkEnd w:id="48"/>
    </w:p>
    <w:p>
      <w:pPr>
        <w:spacing w:line="400" w:lineRule="exact"/>
        <w:ind w:firstLine="420" w:firstLineChars="150"/>
        <w:rPr>
          <w:rFonts w:ascii="方正仿宋_GBK" w:hAnsi="方正仿宋_GBK" w:eastAsia="方正仿宋_GBK" w:cs="方正仿宋_GBK"/>
          <w:szCs w:val="28"/>
        </w:rPr>
      </w:pPr>
      <w:r>
        <w:rPr>
          <w:rFonts w:hint="eastAsia" w:ascii="方正仿宋_GBK" w:hAnsi="方正仿宋_GBK" w:eastAsia="方正仿宋_GBK" w:cs="方正仿宋_GBK"/>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pPr>
        <w:spacing w:line="400" w:lineRule="exact"/>
        <w:ind w:firstLine="420" w:firstLineChars="150"/>
        <w:rPr>
          <w:rFonts w:ascii="方正仿宋_GBK" w:hAnsi="方正仿宋_GBK" w:eastAsia="方正仿宋_GBK" w:cs="方正仿宋_GBK"/>
          <w:szCs w:val="28"/>
        </w:rPr>
      </w:pPr>
      <w:r>
        <w:rPr>
          <w:rFonts w:hint="eastAsia" w:ascii="方正仿宋_GBK" w:hAnsi="方正仿宋_GBK" w:eastAsia="方正仿宋_GBK" w:cs="方正仿宋_GBK"/>
          <w:szCs w:val="28"/>
        </w:rPr>
        <w:t>（二）竞争性谈判文件、供应商的响应文件及澄清文件等，均为签订采购合同的依据。</w:t>
      </w:r>
    </w:p>
    <w:p>
      <w:pPr>
        <w:pStyle w:val="2"/>
        <w:spacing w:line="360" w:lineRule="auto"/>
        <w:ind w:firstLine="2160" w:firstLineChars="600"/>
        <w:rPr>
          <w:rFonts w:ascii="方正小标宋_GBK" w:hAnsi="宋体" w:eastAsia="方正小标宋_GBK"/>
          <w:b w:val="0"/>
          <w:sz w:val="36"/>
          <w:szCs w:val="30"/>
        </w:rPr>
      </w:pPr>
      <w:bookmarkStart w:id="51" w:name="_Toc480201049"/>
    </w:p>
    <w:p>
      <w:pPr>
        <w:pStyle w:val="2"/>
        <w:spacing w:line="360" w:lineRule="auto"/>
        <w:ind w:firstLine="2160" w:firstLineChars="600"/>
        <w:jc w:val="center"/>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pStyle w:val="2"/>
        <w:spacing w:line="360" w:lineRule="auto"/>
        <w:jc w:val="left"/>
        <w:rPr>
          <w:rFonts w:ascii="方正小标宋_GBK" w:hAnsi="宋体" w:eastAsia="方正小标宋_GBK"/>
          <w:b w:val="0"/>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rPr>
          <w:rFonts w:ascii="方正小标宋_GBK" w:hAnsi="宋体" w:eastAsia="方正小标宋_GBK"/>
          <w:sz w:val="36"/>
          <w:szCs w:val="30"/>
        </w:rPr>
      </w:pPr>
    </w:p>
    <w:p>
      <w:pPr>
        <w:jc w:val="center"/>
        <w:rPr>
          <w:rFonts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第六篇</w:t>
      </w:r>
      <w:bookmarkStart w:id="52" w:name="_Hlt41879464"/>
      <w:bookmarkEnd w:id="52"/>
      <w:bookmarkStart w:id="53" w:name="_Toc12789072"/>
      <w:bookmarkEnd w:id="53"/>
      <w:bookmarkStart w:id="54" w:name="_Toc480201050"/>
      <w:bookmarkEnd w:id="49"/>
      <w:bookmarkEnd w:id="50"/>
      <w:bookmarkEnd w:id="51"/>
      <w:r>
        <w:rPr>
          <w:rFonts w:hint="eastAsia" w:ascii="方正黑体_GBK" w:hAnsi="方正黑体_GBK" w:eastAsia="方正黑体_GBK" w:cs="方正黑体_GBK"/>
          <w:sz w:val="44"/>
          <w:szCs w:val="44"/>
        </w:rPr>
        <w:t xml:space="preserve">   响应文件编制要求</w:t>
      </w:r>
      <w:bookmarkEnd w:id="54"/>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技术响应偏离表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w:t>
      </w:r>
      <w:r>
        <w:rPr>
          <w:rFonts w:hint="eastAsia" w:ascii="方正仿宋_GBK" w:hAnsi="宋体" w:eastAsia="方正仿宋_GBK"/>
          <w:b/>
          <w:sz w:val="24"/>
          <w:szCs w:val="24"/>
        </w:rPr>
        <w:t>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（五）提供</w:t>
      </w:r>
      <w:r>
        <w:rPr>
          <w:rFonts w:hint="eastAsia" w:ascii="方正仿宋_GBK" w:hAnsi="宋体" w:eastAsia="方正仿宋_GBK"/>
          <w:sz w:val="24"/>
          <w:szCs w:val="24"/>
          <w:lang w:val="en-US" w:eastAsia="zh-CN"/>
        </w:rPr>
        <w:t>最近一年年</w:t>
      </w:r>
      <w:r>
        <w:rPr>
          <w:rFonts w:hint="eastAsia" w:ascii="方正仿宋_GBK" w:hAnsi="宋体" w:eastAsia="方正仿宋_GBK"/>
          <w:sz w:val="24"/>
          <w:szCs w:val="24"/>
        </w:rPr>
        <w:t>度财务状况报告（表）复印件，本年度新成立的公司提供提交响应文件截止时间前一个月的财务状况报告（表）复印件（新成立公司不足一个月的除外）。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说明：供应商按“五证合一”登记制度办理营业执照的，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以供应商所提供的营业执照（副本）复印件为准。</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line="360" w:lineRule="auto"/>
        <w:rPr>
          <w:rFonts w:ascii="方正仿宋_GBK" w:hAnsi="宋体" w:eastAsia="方正仿宋_GBK"/>
          <w:sz w:val="24"/>
          <w:szCs w:val="24"/>
        </w:rPr>
      </w:pPr>
      <w:bookmarkStart w:id="55" w:name="_Toc313008356"/>
      <w:bookmarkStart w:id="56" w:name="_Toc313888360"/>
      <w:bookmarkStart w:id="57" w:name="_Toc342913419"/>
      <w:bookmarkStart w:id="58" w:name="_Toc511909623"/>
      <w:bookmarkStart w:id="59" w:name="_Toc12789073"/>
      <w:bookmarkStart w:id="60" w:name="_Toc283382454"/>
      <w:r>
        <w:rPr>
          <w:rFonts w:hint="eastAsia" w:ascii="方正仿宋_GBK" w:hAnsi="宋体" w:eastAsia="方正仿宋_GBK"/>
          <w:sz w:val="24"/>
          <w:szCs w:val="24"/>
        </w:rPr>
        <w:t>一、经济部分</w:t>
      </w:r>
      <w:bookmarkEnd w:id="55"/>
      <w:bookmarkEnd w:id="56"/>
      <w:bookmarkEnd w:id="57"/>
      <w:bookmarkEnd w:id="58"/>
    </w:p>
    <w:bookmarkEnd w:id="59"/>
    <w:bookmarkEnd w:id="60"/>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w:t>
      </w:r>
      <w:r>
        <w:rPr>
          <w:rFonts w:hint="eastAsia" w:ascii="方正仿宋_GBK" w:hAnsi="宋体" w:eastAsia="方正仿宋_GBK"/>
          <w:sz w:val="24"/>
          <w:szCs w:val="24"/>
          <w:lang w:val="en-US" w:eastAsia="zh-CN"/>
        </w:rPr>
        <w:t>折</w:t>
      </w:r>
      <w:r>
        <w:rPr>
          <w:rFonts w:hint="eastAsia" w:ascii="方正仿宋_GBK" w:hAnsi="宋体" w:eastAsia="方正仿宋_GBK"/>
          <w:sz w:val="24"/>
          <w:szCs w:val="24"/>
        </w:rPr>
        <w:t>率为：       ％。以我公司最后报价为准。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7.我方同意竞争性谈判文件规定。如果我方成为成交供应商，保证在接到成交通知书后，向采购代理机构交纳竞争性谈判文件规定的采购代理服务费。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谈判项目编号：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项目名称：</w:t>
      </w:r>
    </w:p>
    <w:tbl>
      <w:tblPr>
        <w:tblW w:w="7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700"/>
        <w:gridCol w:w="140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28"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分包</w:t>
            </w:r>
          </w:p>
        </w:tc>
        <w:tc>
          <w:tcPr>
            <w:tcW w:w="1700"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商品名称</w:t>
            </w:r>
          </w:p>
        </w:tc>
        <w:tc>
          <w:tcPr>
            <w:tcW w:w="1400" w:type="dxa"/>
            <w:vAlign w:val="center"/>
          </w:tcPr>
          <w:p>
            <w:pPr>
              <w:jc w:val="center"/>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规格</w:t>
            </w:r>
          </w:p>
        </w:tc>
        <w:tc>
          <w:tcPr>
            <w:tcW w:w="2416"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询价最低价的折扣</w:t>
            </w:r>
            <w:r>
              <w:rPr>
                <w:rFonts w:hint="eastAsia" w:ascii="方正仿宋_GBK" w:hAnsi="宋体" w:eastAsia="方正仿宋_GBK"/>
                <w:sz w:val="24"/>
                <w:szCs w:val="28"/>
                <w:lang w:val="en-US" w:eastAsia="zh-CN"/>
              </w:rPr>
              <w:t>%</w:t>
            </w:r>
            <w:r>
              <w:rPr>
                <w:rFonts w:hint="eastAsia" w:ascii="方正仿宋_GBK" w:hAnsi="宋体" w:eastAsia="方正仿宋_GBK"/>
                <w:sz w:val="24"/>
                <w:szCs w:val="28"/>
              </w:rPr>
              <w:t>（最高不超过95%）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28" w:type="dxa"/>
            <w:vMerge w:val="restart"/>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700" w:type="dxa"/>
            <w:tcBorders>
              <w:bottom w:val="single" w:color="auto" w:sz="4" w:space="0"/>
            </w:tcBorders>
            <w:vAlign w:val="center"/>
          </w:tcPr>
          <w:p>
            <w:pPr>
              <w:jc w:val="center"/>
              <w:rPr>
                <w:rFonts w:ascii="方正仿宋_GBK" w:hAnsi="宋体" w:eastAsia="方正仿宋_GBK"/>
                <w:sz w:val="24"/>
                <w:szCs w:val="28"/>
              </w:rPr>
            </w:pPr>
          </w:p>
        </w:tc>
        <w:tc>
          <w:tcPr>
            <w:tcW w:w="1400" w:type="dxa"/>
            <w:tcBorders>
              <w:bottom w:val="single" w:color="auto" w:sz="4" w:space="0"/>
            </w:tcBorders>
            <w:vAlign w:val="center"/>
          </w:tcPr>
          <w:p>
            <w:pPr>
              <w:jc w:val="center"/>
              <w:rPr>
                <w:rFonts w:ascii="方正仿宋_GBK" w:hAnsi="宋体" w:eastAsia="方正仿宋_GBK"/>
                <w:sz w:val="24"/>
                <w:szCs w:val="28"/>
              </w:rPr>
            </w:pPr>
          </w:p>
        </w:tc>
        <w:tc>
          <w:tcPr>
            <w:tcW w:w="2416" w:type="dxa"/>
            <w:vMerge w:val="restart"/>
            <w:vAlign w:val="center"/>
          </w:tcPr>
          <w:p>
            <w:pPr>
              <w:jc w:val="center"/>
              <w:rPr>
                <w:rFonts w:ascii="方正仿宋_GBK" w:hAnsi="宋体" w:eastAsia="方正仿宋_GBK"/>
                <w:sz w:val="24"/>
                <w:szCs w:val="28"/>
              </w:rPr>
            </w:pPr>
            <w:bookmarkStart w:id="76" w:name="_GoBack"/>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28" w:type="dxa"/>
            <w:vMerge w:val="continue"/>
            <w:vAlign w:val="center"/>
          </w:tcPr>
          <w:p>
            <w:pPr>
              <w:jc w:val="center"/>
              <w:rPr>
                <w:rFonts w:ascii="方正仿宋_GBK" w:hAnsi="宋体" w:eastAsia="方正仿宋_GBK"/>
                <w:sz w:val="24"/>
                <w:szCs w:val="28"/>
              </w:rPr>
            </w:pPr>
          </w:p>
        </w:tc>
        <w:tc>
          <w:tcPr>
            <w:tcW w:w="1700" w:type="dxa"/>
            <w:tcBorders>
              <w:bottom w:val="single" w:color="auto" w:sz="4" w:space="0"/>
            </w:tcBorders>
            <w:vAlign w:val="center"/>
          </w:tcPr>
          <w:p>
            <w:pPr>
              <w:jc w:val="center"/>
              <w:rPr>
                <w:rFonts w:ascii="方正仿宋_GBK" w:hAnsi="宋体" w:eastAsia="方正仿宋_GBK"/>
                <w:sz w:val="24"/>
                <w:szCs w:val="28"/>
              </w:rPr>
            </w:pPr>
          </w:p>
        </w:tc>
        <w:tc>
          <w:tcPr>
            <w:tcW w:w="1400" w:type="dxa"/>
            <w:tcBorders>
              <w:bottom w:val="single" w:color="auto" w:sz="4" w:space="0"/>
            </w:tcBorders>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28" w:type="dxa"/>
            <w:vMerge w:val="continue"/>
            <w:vAlign w:val="center"/>
          </w:tcPr>
          <w:p>
            <w:pPr>
              <w:jc w:val="center"/>
              <w:rPr>
                <w:rFonts w:ascii="方正仿宋_GBK" w:hAnsi="宋体" w:eastAsia="方正仿宋_GBK"/>
                <w:sz w:val="24"/>
                <w:szCs w:val="28"/>
              </w:rPr>
            </w:pPr>
          </w:p>
        </w:tc>
        <w:tc>
          <w:tcPr>
            <w:tcW w:w="1700" w:type="dxa"/>
            <w:vAlign w:val="center"/>
          </w:tcPr>
          <w:p>
            <w:pPr>
              <w:jc w:val="center"/>
              <w:rPr>
                <w:rFonts w:ascii="方正仿宋_GBK" w:hAnsi="宋体" w:eastAsia="方正仿宋_GBK"/>
                <w:sz w:val="24"/>
                <w:szCs w:val="28"/>
              </w:rPr>
            </w:pPr>
          </w:p>
        </w:tc>
        <w:tc>
          <w:tcPr>
            <w:tcW w:w="1400" w:type="dxa"/>
            <w:vAlign w:val="center"/>
          </w:tcPr>
          <w:p>
            <w:pPr>
              <w:jc w:val="center"/>
              <w:rPr>
                <w:rFonts w:ascii="方正仿宋_GBK" w:hAnsi="宋体" w:eastAsia="方正仿宋_GBK"/>
                <w:sz w:val="24"/>
                <w:szCs w:val="28"/>
              </w:rPr>
            </w:pPr>
          </w:p>
        </w:tc>
        <w:tc>
          <w:tcPr>
            <w:tcW w:w="2416" w:type="dxa"/>
            <w:vMerge w:val="continue"/>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61" w:name="OLE_LINK1"/>
      <w:bookmarkStart w:id="62" w:name="OLE_LINK2"/>
      <w:r>
        <w:rPr>
          <w:rFonts w:hint="eastAsia" w:ascii="方正仿宋_GBK" w:hAnsi="宋体" w:eastAsia="方正仿宋_GBK"/>
          <w:sz w:val="24"/>
          <w:szCs w:val="28"/>
        </w:rPr>
        <w:t>，并逐页签字或盖章。</w:t>
      </w:r>
      <w:bookmarkEnd w:id="61"/>
      <w:bookmarkEnd w:id="62"/>
    </w:p>
    <w:p>
      <w:pPr>
        <w:snapToGrid w:val="0"/>
        <w:spacing w:line="500" w:lineRule="exact"/>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 xml:space="preserve">        3.整包报统一折率。</w:t>
      </w:r>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7" w:type="default"/>
          <w:pgSz w:w="11907" w:h="16840"/>
          <w:pgMar w:top="1134" w:right="1191" w:bottom="1134" w:left="1304" w:header="851" w:footer="992" w:gutter="0"/>
          <w:pgNumType w:fmt="numberInDash"/>
          <w:cols w:space="720" w:num="1"/>
          <w:docGrid w:linePitch="380" w:charSpace="-5735"/>
        </w:sectPr>
      </w:pPr>
    </w:p>
    <w:p>
      <w:pPr>
        <w:pStyle w:val="3"/>
        <w:spacing w:line="360" w:lineRule="auto"/>
        <w:rPr>
          <w:rFonts w:ascii="方正仿宋_GBK" w:hAnsi="宋体" w:eastAsia="方正仿宋_GBK"/>
          <w:sz w:val="24"/>
          <w:szCs w:val="24"/>
        </w:rPr>
      </w:pPr>
      <w:bookmarkStart w:id="63" w:name="_Toc313008357"/>
      <w:bookmarkStart w:id="64" w:name="_Toc342913420"/>
      <w:bookmarkStart w:id="65" w:name="_Toc313888361"/>
      <w:bookmarkStart w:id="66" w:name="_Toc511909624"/>
      <w:r>
        <w:rPr>
          <w:rFonts w:hint="eastAsia" w:ascii="方正仿宋_GBK" w:hAnsi="宋体" w:eastAsia="方正仿宋_GBK"/>
          <w:sz w:val="24"/>
          <w:szCs w:val="24"/>
        </w:rPr>
        <w:t>二、技术部分</w:t>
      </w:r>
      <w:bookmarkEnd w:id="63"/>
      <w:bookmarkEnd w:id="64"/>
      <w:bookmarkEnd w:id="65"/>
      <w:bookmarkEnd w:id="66"/>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技术响应偏离表</w:t>
      </w:r>
    </w:p>
    <w:p>
      <w:pPr>
        <w:pStyle w:val="7"/>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w:t>
      </w:r>
      <w:r>
        <w:rPr>
          <w:rFonts w:hint="eastAsia" w:ascii="方正仿宋_GBK" w:hAnsi="宋体" w:eastAsia="方正仿宋_GBK"/>
          <w:sz w:val="24"/>
          <w:lang w:val="en-US" w:eastAsia="zh-CN"/>
        </w:rPr>
        <w:t>二</w:t>
      </w:r>
      <w:r>
        <w:rPr>
          <w:rFonts w:hint="eastAsia" w:ascii="方正仿宋_GBK" w:hAnsi="宋体" w:eastAsia="方正仿宋_GBK"/>
          <w:sz w:val="24"/>
        </w:rPr>
        <w:t>篇  谈判</w:t>
      </w:r>
      <w:r>
        <w:rPr>
          <w:rFonts w:hint="eastAsia" w:ascii="方正仿宋_GBK" w:hAnsi="宋体" w:eastAsia="方正仿宋_GBK"/>
          <w:sz w:val="24"/>
          <w:lang w:val="en-US" w:eastAsia="zh-CN"/>
        </w:rPr>
        <w:t>项目</w:t>
      </w:r>
      <w:r>
        <w:rPr>
          <w:rFonts w:hint="eastAsia" w:ascii="方正仿宋_GBK" w:hAnsi="宋体" w:eastAsia="方正仿宋_GBK"/>
          <w:sz w:val="24"/>
        </w:rPr>
        <w:t>技术需求”中所列技术要求进行比较和响应；</w:t>
      </w:r>
    </w:p>
    <w:p>
      <w:pPr>
        <w:tabs>
          <w:tab w:val="left" w:pos="6300"/>
        </w:tabs>
        <w:snapToGrid w:val="0"/>
        <w:spacing w:line="500" w:lineRule="exact"/>
        <w:ind w:firstLine="480" w:firstLineChars="200"/>
        <w:rPr>
          <w:rFonts w:hint="eastAsia" w:ascii="方正仿宋_GBK" w:hAnsi="宋体" w:eastAsia="方正仿宋_GBK"/>
          <w:sz w:val="24"/>
          <w:lang w:val="en-US" w:eastAsia="zh-CN"/>
        </w:rPr>
      </w:pPr>
      <w:r>
        <w:rPr>
          <w:rFonts w:hint="eastAsia" w:ascii="方正仿宋_GBK" w:hAnsi="宋体" w:eastAsia="方正仿宋_GBK"/>
          <w:sz w:val="24"/>
        </w:rPr>
        <w:t>2.</w:t>
      </w:r>
      <w:r>
        <w:rPr>
          <w:rFonts w:hint="eastAsia" w:ascii="方正仿宋_GBK" w:hAnsi="宋体" w:eastAsia="方正仿宋_GBK"/>
          <w:sz w:val="24"/>
          <w:lang w:val="en-US" w:eastAsia="zh-CN"/>
        </w:rPr>
        <w:t xml:space="preserve">投标供应商对涉及所投分包的内容作出实质性响应，每一条涉及的内容必须满足。（如投标的为包1，响应包1相关的技术参数要求即可）  </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该表必须按照竞争性谈判要求</w:t>
      </w:r>
      <w:r>
        <w:rPr>
          <w:rFonts w:hint="eastAsia" w:ascii="方正仿宋_GBK" w:hAnsi="宋体" w:eastAsia="方正仿宋_GBK"/>
          <w:sz w:val="24"/>
          <w:lang w:val="en-US" w:eastAsia="zh-CN"/>
        </w:rPr>
        <w:t>对</w:t>
      </w:r>
      <w:r>
        <w:rPr>
          <w:rFonts w:hint="eastAsia" w:ascii="方正仿宋_GBK" w:hAnsi="宋体" w:eastAsia="方正仿宋_GBK"/>
          <w:sz w:val="24"/>
        </w:rPr>
        <w:t>逐条如实填写，若未作实质性参数描述，该供应商将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lang w:val="en-US" w:eastAsia="zh-CN"/>
        </w:rPr>
        <w:t>4</w:t>
      </w:r>
      <w:r>
        <w:rPr>
          <w:rFonts w:hint="eastAsia" w:ascii="方正仿宋_GBK" w:hAnsi="宋体" w:eastAsia="方正仿宋_GBK"/>
          <w:sz w:val="24"/>
        </w:rPr>
        <w:t>.该表可扩展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lang w:val="en-US" w:eastAsia="zh-CN"/>
        </w:rPr>
        <w:t>5</w:t>
      </w:r>
      <w:r>
        <w:rPr>
          <w:rFonts w:hint="eastAsia" w:ascii="方正仿宋_GBK" w:hAnsi="宋体" w:eastAsia="方正仿宋_GBK"/>
          <w:sz w:val="24"/>
        </w:rPr>
        <w:t>.可附相关技术支撑材料（格式自定）。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lang w:val="en-US" w:eastAsia="zh-CN"/>
        </w:rPr>
        <w:t>6.</w:t>
      </w:r>
      <w:r>
        <w:rPr>
          <w:rFonts w:hint="eastAsia" w:ascii="方正仿宋_GBK" w:hAnsi="宋体" w:eastAsia="方正仿宋_GBK"/>
          <w:sz w:val="24"/>
        </w:rPr>
        <w:t>根据响应情况在“差异说明”项填写正偏离或负偏离及原因，完全符合的填写“无差异”</w:t>
      </w:r>
      <w:r>
        <w:rPr>
          <w:rFonts w:hint="eastAsia" w:ascii="方正仿宋_GBK" w:hAnsi="宋体" w:eastAsia="方正仿宋_GBK"/>
          <w:sz w:val="24"/>
          <w:szCs w:val="24"/>
        </w:rPr>
        <w:t>。</w:t>
      </w:r>
    </w:p>
    <w:p>
      <w:pPr>
        <w:pStyle w:val="3"/>
        <w:spacing w:line="360" w:lineRule="auto"/>
        <w:rPr>
          <w:rFonts w:ascii="方正仿宋_GBK" w:hAnsi="宋体" w:eastAsia="方正仿宋_GBK"/>
          <w:sz w:val="24"/>
          <w:szCs w:val="24"/>
        </w:rPr>
      </w:pPr>
      <w:r>
        <w:rPr>
          <w:rFonts w:ascii="方正仿宋_GBK" w:eastAsia="方正仿宋_GBK"/>
          <w:b w:val="0"/>
        </w:rPr>
        <w:br w:type="page"/>
      </w:r>
      <w:bookmarkStart w:id="67" w:name="_Toc511909625"/>
      <w:bookmarkStart w:id="68" w:name="_Toc313008358"/>
      <w:bookmarkStart w:id="69" w:name="_Toc313888362"/>
      <w:bookmarkStart w:id="70" w:name="_Toc342913421"/>
      <w:r>
        <w:rPr>
          <w:rFonts w:hint="eastAsia" w:ascii="方正仿宋_GBK" w:hAnsi="宋体" w:eastAsia="方正仿宋_GBK"/>
          <w:sz w:val="24"/>
          <w:szCs w:val="24"/>
        </w:rPr>
        <w:t>三、</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部分</w:t>
      </w:r>
      <w:bookmarkEnd w:id="67"/>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lang w:val="en-US" w:eastAsia="zh-CN"/>
        </w:rPr>
        <w:t>商务</w:t>
      </w:r>
      <w:r>
        <w:rPr>
          <w:rFonts w:hint="eastAsia" w:ascii="方正仿宋_GBK" w:hAnsi="宋体" w:eastAsia="方正仿宋_GBK"/>
          <w:b/>
          <w:szCs w:val="28"/>
        </w:rPr>
        <w:t>响应偏离表</w:t>
      </w:r>
    </w:p>
    <w:p>
      <w:pPr>
        <w:snapToGrid w:val="0"/>
        <w:ind w:firstLine="465"/>
        <w:rPr>
          <w:rFonts w:ascii="方正仿宋_GBK" w:hAnsi="宋体" w:eastAsia="方正仿宋_GBK"/>
          <w:sz w:val="24"/>
          <w:szCs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谈判项目需求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篇 谈判项目</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需求”中所列服务要求进行比较和响应；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2.该表必须按照竞争性谈判要求逐条如实填写，若未作实质性参数描述，该供应商将失去成为成交供应商的资格，仅保留其合格供应商的身份。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根据响应情况在“差异说明”项填写正偏离或负偏离及原因，完全符合的填写“无差异”。</w:t>
      </w:r>
    </w:p>
    <w:p>
      <w:pPr>
        <w:pStyle w:val="3"/>
        <w:spacing w:line="360" w:lineRule="auto"/>
        <w:rPr>
          <w:rFonts w:ascii="方正仿宋_GBK" w:hAnsi="宋体" w:eastAsia="方正仿宋_GBK"/>
          <w:sz w:val="24"/>
          <w:szCs w:val="24"/>
        </w:rPr>
      </w:pPr>
      <w:bookmarkStart w:id="71" w:name="_Toc511909626"/>
      <w:r>
        <w:rPr>
          <w:rFonts w:hint="eastAsia" w:ascii="方正仿宋_GBK" w:hAnsi="宋体" w:eastAsia="方正仿宋_GBK"/>
          <w:sz w:val="24"/>
          <w:szCs w:val="24"/>
        </w:rPr>
        <w:t>四、</w:t>
      </w:r>
      <w:bookmarkEnd w:id="68"/>
      <w:bookmarkEnd w:id="69"/>
      <w:bookmarkEnd w:id="70"/>
      <w:r>
        <w:rPr>
          <w:rFonts w:hint="eastAsia" w:ascii="方正仿宋_GBK" w:hAnsi="宋体" w:eastAsia="方正仿宋_GBK"/>
          <w:sz w:val="24"/>
          <w:szCs w:val="24"/>
        </w:rPr>
        <w:t>资格条件及其他</w:t>
      </w:r>
      <w:bookmarkEnd w:id="71"/>
      <w:bookmarkStart w:id="72" w:name="_Toc313008359"/>
      <w:bookmarkStart w:id="73" w:name="_Toc313888363"/>
      <w:bookmarkStart w:id="74" w:name="_Toc342913422"/>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（五）提供</w:t>
      </w:r>
      <w:r>
        <w:rPr>
          <w:rFonts w:hint="eastAsia" w:ascii="方正仿宋_GBK" w:hAnsi="宋体" w:eastAsia="方正仿宋_GBK"/>
          <w:lang w:val="en-US" w:eastAsia="zh-CN"/>
        </w:rPr>
        <w:t>最近一年</w:t>
      </w:r>
      <w:r>
        <w:rPr>
          <w:rFonts w:hint="eastAsia" w:ascii="方正仿宋_GBK" w:hAnsi="宋体" w:eastAsia="方正仿宋_GBK"/>
        </w:rPr>
        <w:t>年度财务状况报告（表）复印件，本年度新成立的公司提供提交响应文件截止时间前一个月的财务状况报告（表）复印件（新成立公司不足一个月的除外）。</w:t>
      </w:r>
    </w:p>
    <w:p>
      <w:pPr>
        <w:tabs>
          <w:tab w:val="left" w:pos="6300"/>
        </w:tabs>
        <w:snapToGrid w:val="0"/>
        <w:spacing w:line="500" w:lineRule="exact"/>
        <w:ind w:firstLine="3220" w:firstLineChars="1150"/>
        <w:rPr>
          <w:rFonts w:ascii="方正仿宋_GBK" w:hAnsi="宋体" w:eastAsia="方正仿宋_GBK"/>
          <w:sz w:val="24"/>
        </w:rPr>
      </w:pPr>
      <w:r>
        <w:rPr>
          <w:rFonts w:ascii="方正仿宋_GBK" w:hAnsi="宋体" w:eastAsia="方正仿宋_GBK"/>
        </w:rPr>
        <w:br w:type="page"/>
      </w: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w:t>
      </w: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（八）缴纳社会保障金的证明材料复印件</w:t>
      </w:r>
    </w:p>
    <w:p>
      <w:pPr>
        <w:tabs>
          <w:tab w:val="left" w:pos="6300"/>
        </w:tabs>
        <w:snapToGrid w:val="0"/>
        <w:spacing w:line="500" w:lineRule="exact"/>
        <w:ind w:firstLine="560" w:firstLineChars="200"/>
        <w:rPr>
          <w:rFonts w:ascii="方正仿宋_GBK" w:hAnsi="仿宋" w:eastAsia="方正仿宋_GBK"/>
        </w:rPr>
      </w:pPr>
      <w:r>
        <w:rPr>
          <w:rFonts w:hint="eastAsia" w:ascii="方正仿宋_GBK" w:hAnsi="仿宋" w:eastAsia="方正仿宋_GBK"/>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rPr>
          <w:rFonts w:ascii="方正仿宋_GBK" w:hAnsi="仿宋" w:eastAsia="方正仿宋_GBK"/>
        </w:rPr>
      </w:pP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spacing w:line="360" w:lineRule="auto"/>
        <w:rPr>
          <w:rFonts w:hint="eastAsia" w:ascii="方正仿宋_GBK" w:hAnsi="仿宋" w:eastAsia="方正仿宋_GBK"/>
        </w:rPr>
      </w:pPr>
      <w:r>
        <w:rPr>
          <w:rFonts w:ascii="方正仿宋_GBK" w:hAnsi="宋体" w:eastAsia="方正仿宋_GBK"/>
          <w:sz w:val="24"/>
          <w:szCs w:val="24"/>
        </w:rPr>
        <w:br w:type="page"/>
      </w:r>
      <w:bookmarkStart w:id="75" w:name="_Toc511909627"/>
      <w:r>
        <w:rPr>
          <w:rFonts w:hint="eastAsia" w:ascii="方正仿宋_GBK" w:hAnsi="宋体" w:eastAsia="方正仿宋_GBK"/>
          <w:sz w:val="24"/>
          <w:szCs w:val="24"/>
        </w:rPr>
        <w:t>五、</w:t>
      </w:r>
      <w:bookmarkEnd w:id="72"/>
      <w:bookmarkEnd w:id="73"/>
      <w:bookmarkEnd w:id="74"/>
      <w:r>
        <w:rPr>
          <w:rFonts w:hint="eastAsia" w:ascii="方正仿宋_GBK" w:eastAsia="方正仿宋_GBK"/>
          <w:sz w:val="24"/>
          <w:szCs w:val="24"/>
        </w:rPr>
        <w:t>其他应提供的资料</w:t>
      </w:r>
      <w:bookmarkEnd w:id="75"/>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r>
        <w:rPr>
          <w:rFonts w:hint="eastAsia" w:ascii="方正仿宋_GBK" w:hAnsi="仿宋" w:eastAsia="方正仿宋_GBK"/>
        </w:rPr>
        <w:br w:type="page"/>
      </w:r>
    </w:p>
    <w:p>
      <w:pPr>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p/>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方正楷体_GBK">
    <w:altName w:val="宋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20106090000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20B06090100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center" w:y="1"/>
      <w:rPr>
        <w:rStyle w:val="15"/>
      </w:rPr>
    </w:pPr>
    <w:r>
      <w:fldChar w:fldCharType="begin"/>
    </w:r>
    <w:r>
      <w:rPr>
        <w:rStyle w:val="15"/>
      </w:rPr>
      <w:instrText xml:space="preserve">PAGE  </w:instrText>
    </w:r>
    <w:r>
      <w:fldChar w:fldCharType="separate"/>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- 31 -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9990333">
    <w:nsid w:val="6258DABD"/>
    <w:multiLevelType w:val="singleLevel"/>
    <w:tmpl w:val="6258DABD"/>
    <w:lvl w:ilvl="0" w:tentative="1">
      <w:start w:val="1"/>
      <w:numFmt w:val="chineseCounting"/>
      <w:suff w:val="nothing"/>
      <w:lvlText w:val="%1、"/>
      <w:lvlJc w:val="left"/>
    </w:lvl>
  </w:abstractNum>
  <w:abstractNum w:abstractNumId="1648691475">
    <w:nsid w:val="62450913"/>
    <w:multiLevelType w:val="singleLevel"/>
    <w:tmpl w:val="62450913"/>
    <w:lvl w:ilvl="0" w:tentative="1">
      <w:start w:val="3"/>
      <w:numFmt w:val="chineseCounting"/>
      <w:suff w:val="nothing"/>
      <w:lvlText w:val="（%1）"/>
      <w:lvlJc w:val="left"/>
    </w:lvl>
  </w:abstractNum>
  <w:abstractNum w:abstractNumId="1648608046">
    <w:nsid w:val="6243C32E"/>
    <w:multiLevelType w:val="singleLevel"/>
    <w:tmpl w:val="6243C32E"/>
    <w:lvl w:ilvl="0" w:tentative="1">
      <w:start w:val="1"/>
      <w:numFmt w:val="chineseCounting"/>
      <w:suff w:val="nothing"/>
      <w:lvlText w:val="%1、"/>
      <w:lvlJc w:val="left"/>
    </w:lvl>
  </w:abstractNum>
  <w:num w:numId="1">
    <w:abstractNumId w:val="1649990333"/>
  </w:num>
  <w:num w:numId="2">
    <w:abstractNumId w:val="1648608046"/>
  </w:num>
  <w:num w:numId="3">
    <w:abstractNumId w:val="16486914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99"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99"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8"/>
      <w:szCs w:val="22"/>
      <w:lang w:val="en-US" w:eastAsia="zh-CN" w:bidi="ar-SA"/>
    </w:rPr>
  </w:style>
  <w:style w:type="paragraph" w:styleId="2">
    <w:name w:val="heading 2"/>
    <w:basedOn w:val="1"/>
    <w:next w:val="1"/>
    <w:link w:val="23"/>
    <w:unhideWhenUsed/>
    <w:qFormat/>
    <w:uiPriority w:val="0"/>
    <w:pPr>
      <w:keepNext/>
      <w:keepLines/>
      <w:spacing w:line="413" w:lineRule="auto"/>
      <w:outlineLvl w:val="1"/>
    </w:pPr>
    <w:rPr>
      <w:rFonts w:ascii="Arial" w:hAnsi="Arial" w:eastAsia="黑体"/>
      <w:b/>
      <w:sz w:val="32"/>
    </w:rPr>
  </w:style>
  <w:style w:type="paragraph" w:styleId="3">
    <w:name w:val="heading 3"/>
    <w:basedOn w:val="1"/>
    <w:next w:val="1"/>
    <w:link w:val="24"/>
    <w:unhideWhenUsed/>
    <w:qFormat/>
    <w:uiPriority w:val="0"/>
    <w:pPr>
      <w:keepNext/>
      <w:keepLines/>
      <w:spacing w:line="413" w:lineRule="auto"/>
      <w:outlineLvl w:val="2"/>
    </w:pPr>
    <w:rPr>
      <w:b/>
      <w:sz w:val="32"/>
    </w:rPr>
  </w:style>
  <w:style w:type="character" w:default="1" w:styleId="14">
    <w:name w:val="Default Paragraph Font"/>
    <w:semiHidden/>
    <w:unhideWhenUsed/>
    <w:uiPriority w:val="1"/>
  </w:style>
  <w:style w:type="paragraph" w:styleId="4">
    <w:name w:val="Body Text Indent"/>
    <w:basedOn w:val="1"/>
    <w:link w:val="27"/>
    <w:unhideWhenUsed/>
    <w:uiPriority w:val="99"/>
    <w:pPr>
      <w:spacing w:line="360" w:lineRule="auto"/>
      <w:ind w:firstLine="480" w:firstLineChars="200"/>
    </w:pPr>
    <w:rPr>
      <w:rFonts w:ascii="宋体" w:hAnsi="宋体" w:eastAsia="宋体"/>
      <w:sz w:val="24"/>
      <w:szCs w:val="28"/>
    </w:rPr>
  </w:style>
  <w:style w:type="paragraph" w:styleId="5">
    <w:name w:val="toc 3"/>
    <w:basedOn w:val="1"/>
    <w:next w:val="1"/>
    <w:qFormat/>
    <w:uiPriority w:val="0"/>
    <w:pPr>
      <w:ind w:left="840" w:leftChars="400"/>
    </w:pPr>
  </w:style>
  <w:style w:type="paragraph" w:styleId="6">
    <w:name w:val="Plain Text"/>
    <w:basedOn w:val="1"/>
    <w:link w:val="26"/>
    <w:semiHidden/>
    <w:unhideWhenUsed/>
    <w:uiPriority w:val="99"/>
    <w:rPr>
      <w:rFonts w:ascii="宋体" w:hAnsi="Courier New" w:eastAsia="宋体" w:cs="Courier New"/>
      <w:sz w:val="21"/>
      <w:szCs w:val="21"/>
    </w:rPr>
  </w:style>
  <w:style w:type="paragraph" w:styleId="7">
    <w:name w:val="Date"/>
    <w:basedOn w:val="1"/>
    <w:next w:val="1"/>
    <w:link w:val="25"/>
    <w:qFormat/>
    <w:uiPriority w:val="0"/>
  </w:style>
  <w:style w:type="paragraph" w:styleId="8">
    <w:name w:val="Body Text Indent 2"/>
    <w:basedOn w:val="1"/>
    <w:link w:val="28"/>
    <w:semiHidden/>
    <w:unhideWhenUsed/>
    <w:uiPriority w:val="99"/>
    <w:pPr>
      <w:snapToGrid w:val="0"/>
      <w:spacing w:line="440" w:lineRule="atLeast"/>
      <w:ind w:firstLine="570"/>
    </w:pPr>
    <w:rPr>
      <w:rFonts w:ascii="宋体"/>
    </w:rPr>
  </w:style>
  <w:style w:type="paragraph" w:styleId="9">
    <w:name w:val="footer"/>
    <w:basedOn w:val="1"/>
    <w:link w:val="22"/>
    <w:unhideWhenUsed/>
    <w:qFormat/>
    <w:uiPriority w:val="0"/>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uiPriority w:val="39"/>
  </w:style>
  <w:style w:type="paragraph" w:styleId="12">
    <w:name w:val="toc 2"/>
    <w:basedOn w:val="1"/>
    <w:next w:val="1"/>
    <w:qFormat/>
    <w:uiPriority w:val="0"/>
    <w:pPr>
      <w:ind w:left="420" w:leftChars="200"/>
    </w:p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page number"/>
    <w:basedOn w:val="14"/>
    <w:qFormat/>
    <w:uiPriority w:val="0"/>
    <w:rPr/>
  </w:style>
  <w:style w:type="character" w:styleId="16">
    <w:name w:val="Hyperlink"/>
    <w:qFormat/>
    <w:uiPriority w:val="0"/>
    <w:rPr>
      <w:color w:val="0000FF"/>
      <w:u w:val="single"/>
    </w:rPr>
  </w:style>
  <w:style w:type="paragraph" w:customStyle="1" w:styleId="17">
    <w:name w:val="图例"/>
    <w:basedOn w:val="1"/>
    <w:qFormat/>
    <w:uiPriority w:val="0"/>
    <w:pPr>
      <w:spacing w:line="360" w:lineRule="auto"/>
      <w:jc w:val="center"/>
    </w:pPr>
    <w:rPr>
      <w:rFonts w:eastAsia="仿宋_GB2312"/>
      <w:b/>
      <w:sz w:val="24"/>
    </w:rPr>
  </w:style>
  <w:style w:type="paragraph" w:customStyle="1" w:styleId="18">
    <w:name w:val="1"/>
    <w:basedOn w:val="1"/>
    <w:next w:val="6"/>
    <w:qFormat/>
    <w:uiPriority w:val="0"/>
    <w:rPr>
      <w:rFonts w:ascii="宋体" w:hAnsi="Courier New"/>
      <w:sz w:val="21"/>
    </w:rPr>
  </w:style>
  <w:style w:type="paragraph" w:customStyle="1" w:styleId="19">
    <w:name w:val="Normal"/>
    <w:qFormat/>
    <w:uiPriority w:val="0"/>
    <w:pPr>
      <w:jc w:val="both"/>
    </w:pPr>
    <w:rPr>
      <w:rFonts w:ascii="Calibri" w:hAnsi="Calibri" w:eastAsia="宋体" w:cs="Calibri"/>
      <w:kern w:val="2"/>
      <w:sz w:val="21"/>
      <w:szCs w:val="21"/>
      <w:lang w:val="en-US" w:eastAsia="zh-CN" w:bidi="ar-SA"/>
    </w:rPr>
  </w:style>
  <w:style w:type="paragraph" w:customStyle="1" w:styleId="20">
    <w:name w:val="列表1"/>
    <w:basedOn w:val="1"/>
    <w:uiPriority w:val="99"/>
    <w:pPr>
      <w:ind w:left="420" w:hanging="420"/>
    </w:pPr>
    <w:rPr>
      <w:szCs w:val="24"/>
    </w:rPr>
  </w:style>
  <w:style w:type="character" w:customStyle="1" w:styleId="21">
    <w:name w:val="页眉 Char"/>
    <w:basedOn w:val="14"/>
    <w:link w:val="10"/>
    <w:uiPriority w:val="0"/>
    <w:rPr>
      <w:sz w:val="18"/>
      <w:szCs w:val="18"/>
    </w:rPr>
  </w:style>
  <w:style w:type="character" w:customStyle="1" w:styleId="22">
    <w:name w:val="页脚 Char"/>
    <w:basedOn w:val="14"/>
    <w:link w:val="9"/>
    <w:semiHidden/>
    <w:uiPriority w:val="99"/>
    <w:rPr>
      <w:sz w:val="18"/>
      <w:szCs w:val="18"/>
    </w:rPr>
  </w:style>
  <w:style w:type="character" w:customStyle="1" w:styleId="23">
    <w:name w:val="标题 2 Char"/>
    <w:basedOn w:val="14"/>
    <w:link w:val="2"/>
    <w:uiPriority w:val="0"/>
    <w:rPr>
      <w:rFonts w:ascii="Arial" w:hAnsi="Arial" w:eastAsia="黑体"/>
      <w:b/>
      <w:sz w:val="32"/>
    </w:rPr>
  </w:style>
  <w:style w:type="character" w:customStyle="1" w:styleId="24">
    <w:name w:val="标题 3 Char"/>
    <w:basedOn w:val="14"/>
    <w:link w:val="3"/>
    <w:uiPriority w:val="0"/>
    <w:rPr>
      <w:b/>
      <w:sz w:val="32"/>
    </w:rPr>
  </w:style>
  <w:style w:type="character" w:customStyle="1" w:styleId="25">
    <w:name w:val="日期 Char"/>
    <w:basedOn w:val="14"/>
    <w:link w:val="7"/>
    <w:uiPriority w:val="0"/>
    <w:rPr>
      <w:sz w:val="28"/>
    </w:rPr>
  </w:style>
  <w:style w:type="character" w:customStyle="1" w:styleId="26">
    <w:name w:val="纯文本 Char"/>
    <w:basedOn w:val="14"/>
    <w:link w:val="6"/>
    <w:semiHidden/>
    <w:uiPriority w:val="99"/>
    <w:rPr>
      <w:rFonts w:ascii="宋体" w:hAnsi="Courier New" w:eastAsia="宋体" w:cs="Courier New"/>
      <w:szCs w:val="21"/>
    </w:rPr>
  </w:style>
  <w:style w:type="character" w:customStyle="1" w:styleId="27">
    <w:name w:val="正文文本缩进 Char"/>
    <w:basedOn w:val="14"/>
    <w:link w:val="4"/>
    <w:uiPriority w:val="99"/>
    <w:rPr>
      <w:rFonts w:ascii="宋体" w:hAnsi="宋体" w:eastAsia="宋体"/>
      <w:sz w:val="24"/>
      <w:szCs w:val="28"/>
    </w:rPr>
  </w:style>
  <w:style w:type="character" w:customStyle="1" w:styleId="28">
    <w:name w:val="正文文本缩进 2 Char"/>
    <w:basedOn w:val="14"/>
    <w:link w:val="8"/>
    <w:semiHidden/>
    <w:uiPriority w:val="99"/>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2522</Words>
  <Characters>14377</Characters>
  <Lines>119</Lines>
  <Paragraphs>33</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2020-04-28T08:11:00Z</dcterms:created>
  <dc:creator>user</dc:creator>
  <cp:lastModifiedBy>zbb</cp:lastModifiedBy>
  <dcterms:modified xsi:type="dcterms:W3CDTF">2022-04-15T06:46:54Z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y fmtid="{D5CDD505-2E9C-101B-9397-08002B2CF9AE}" pid="3" name="ICV">
    <vt:lpwstr>D5C40622CD314D388923027CE48EC3A0</vt:lpwstr>
  </property>
</Properties>
</file>