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合川区人民医院关于紧急采购</w:t>
      </w:r>
      <w:r>
        <w:rPr>
          <w:rFonts w:hint="eastAsia" w:ascii="宋体" w:hAnsi="宋体" w:cs="宋体"/>
          <w:b/>
          <w:bCs/>
          <w:color w:val="000000"/>
          <w:sz w:val="44"/>
          <w:szCs w:val="44"/>
          <w:lang w:val="en-US" w:eastAsia="zh-CN"/>
        </w:rPr>
        <w:t>脉冲冲洗仪及配套一次性冲洗引流管的公告</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w:t>
      </w:r>
      <w:r>
        <w:rPr>
          <w:rFonts w:hint="eastAsia" w:ascii="方正仿宋_GBK" w:hAnsi="宋体" w:eastAsia="方正仿宋_GBK"/>
          <w:sz w:val="28"/>
          <w:szCs w:val="28"/>
          <w:lang w:val="en-US" w:eastAsia="zh-CN"/>
        </w:rPr>
        <w:t>采购脉冲冲洗仪及配套一次性冲洗引流管</w:t>
      </w:r>
      <w:r>
        <w:rPr>
          <w:rFonts w:hint="eastAsia" w:ascii="方正仿宋_GBK" w:hAnsi="宋体" w:eastAsia="方正仿宋_GBK"/>
          <w:sz w:val="28"/>
          <w:szCs w:val="28"/>
        </w:rPr>
        <w:t>，相关具体要求如下：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p>
    <w:tbl>
      <w:tblPr>
        <w:tblW w:w="9563"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98"/>
        <w:gridCol w:w="2094"/>
        <w:gridCol w:w="2191"/>
        <w:gridCol w:w="2440"/>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序号</w:t>
            </w:r>
          </w:p>
        </w:tc>
        <w:tc>
          <w:tcPr>
            <w:tcW w:w="209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lang w:val="en-US" w:eastAsia="zh-CN"/>
              </w:rPr>
              <w:t>项目</w:t>
            </w:r>
            <w:r>
              <w:rPr>
                <w:rFonts w:hint="eastAsia" w:ascii="方正仿宋_GBK" w:hAnsi="宋体" w:eastAsia="方正仿宋_GBK"/>
                <w:b/>
                <w:sz w:val="28"/>
                <w:szCs w:val="28"/>
              </w:rPr>
              <w:t>名称</w:t>
            </w:r>
          </w:p>
        </w:tc>
        <w:tc>
          <w:tcPr>
            <w:tcW w:w="219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数量</w:t>
            </w:r>
          </w:p>
        </w:tc>
        <w:tc>
          <w:tcPr>
            <w:tcW w:w="244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总限价</w:t>
            </w:r>
          </w:p>
        </w:tc>
        <w:tc>
          <w:tcPr>
            <w:tcW w:w="244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209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脉冲冲洗仪</w:t>
            </w:r>
          </w:p>
        </w:tc>
        <w:tc>
          <w:tcPr>
            <w:tcW w:w="219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1台</w:t>
            </w:r>
          </w:p>
        </w:tc>
        <w:tc>
          <w:tcPr>
            <w:tcW w:w="2440" w:type="dxa"/>
            <w:vMerge w:val="restart"/>
            <w:tcBorders>
              <w:top w:val="single" w:color="auto" w:sz="4" w:space="0"/>
              <w:left w:val="nil"/>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17.2万元</w:t>
            </w:r>
            <w:bookmarkStart w:id="32" w:name="_GoBack"/>
            <w:bookmarkEnd w:id="32"/>
          </w:p>
        </w:tc>
        <w:tc>
          <w:tcPr>
            <w:tcW w:w="2440" w:type="dxa"/>
            <w:vMerge w:val="restart"/>
            <w:tcBorders>
              <w:top w:val="single" w:color="auto" w:sz="4" w:space="0"/>
              <w:left w:val="nil"/>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耗材原则上在药交平台签订合同（一年）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w:t>
            </w:r>
          </w:p>
        </w:tc>
        <w:tc>
          <w:tcPr>
            <w:tcW w:w="209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配套一次性冲洗引流管</w:t>
            </w:r>
          </w:p>
        </w:tc>
        <w:tc>
          <w:tcPr>
            <w:tcW w:w="2191"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年使用量约200根</w:t>
            </w:r>
          </w:p>
        </w:tc>
        <w:tc>
          <w:tcPr>
            <w:tcW w:w="2440" w:type="dxa"/>
            <w:vMerge w:val="continue"/>
            <w:tcBorders>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p>
        </w:tc>
        <w:tc>
          <w:tcPr>
            <w:tcW w:w="2440" w:type="dxa"/>
            <w:vMerge w:val="continue"/>
            <w:tcBorders>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1、制造商投标的须提供：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投标产品制造商应具有有效期内《中华人民共和国医疗器械生产许可证》,同时具有有效期内的《中华人民共和国医疗器械注册证》（若注册证有附件的还须提供注册证附件）(投标文件中提供复印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2、经销商投标的须提供：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须提供《中华人民共和国医疗器械注册证》（若注册证有附件的还须提供注册证附件）；投标产品属二类医疗器械的，投标人须具备并提供有效期内的《第二类医疗器械经营备案凭证》；投标产品属三类医疗器械的，投标人须具备并提供有效期内的《医疗器械经营企业许可证》（投标文件中提供复印件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3、所提供产品为进口产品的，投标人须具备所提供产品制造商或制造商中国境内代表机构认可的经销资格（提供证明文件原件或复印件并加盖投标人公章）。</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一</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谈判地点：重庆市合川区人民医院行政楼一楼招标办（重庆市合川区南津街希尔安大道1366号）</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二</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谈判报名时间：2022年</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rPr>
        <w:t>日北京时间9:00-9：30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三</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谈判开始时间：2022年</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rPr>
        <w:t>日北京时间9：30。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四</w:t>
      </w:r>
      <w:r>
        <w:rPr>
          <w:rFonts w:hint="eastAsia" w:ascii="方正仿宋_GBK" w:hAnsi="宋体" w:eastAsia="方正仿宋_GBK"/>
          <w:sz w:val="28"/>
          <w:szCs w:val="28"/>
          <w:lang w:eastAsia="zh-CN"/>
        </w:rPr>
        <w:t>）</w:t>
      </w:r>
      <w:r>
        <w:rPr>
          <w:rFonts w:hint="eastAsia" w:ascii="方正仿宋_GBK" w:hAnsi="宋体" w:eastAsia="方正仿宋_GBK"/>
          <w:sz w:val="28"/>
          <w:szCs w:val="28"/>
        </w:rPr>
        <w:t>经评审符合要求的最低报价供应商中标。</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p>
      <w:pPr>
        <w:widowControl/>
        <w:adjustRightInd w:val="0"/>
        <w:snapToGrid w:val="0"/>
        <w:spacing w:line="240" w:lineRule="atLeast"/>
        <w:rPr>
          <w:rFonts w:hint="eastAsia" w:ascii="方正仿宋_GBK" w:hAnsi="宋体" w:eastAsia="方正仿宋_GBK"/>
          <w:b/>
          <w:sz w:val="28"/>
          <w:szCs w:val="28"/>
          <w:u w:val="single"/>
        </w:rPr>
      </w:pPr>
      <w:r>
        <w:rPr>
          <w:rFonts w:hint="eastAsia" w:ascii="方正仿宋_GBK" w:hAnsi="宋体" w:eastAsia="方正仿宋_GBK"/>
          <w:b/>
          <w:sz w:val="28"/>
          <w:szCs w:val="28"/>
          <w:u w:val="single"/>
        </w:rPr>
        <w:t>技术参数及配置要求：</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（一）.脉冲冲洗仪技术参数要求</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1.电源：220V，功率：不超过1000VA；</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2.仪器转速：50-400；</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3.工作方式：脚踏板、手动开关；</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4.压力：0~ 110千帕，可调控为宜；</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5.冲洗流量：0~3L\分钟，可调控为宜；</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（二）一次性冲洗引流管技术参数要求</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1.无菌：环氧乙烷灭菌残留不大于10ug\g；</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2.外观：光洁不含杂质；</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3.材质：不能含对人体有害杂质；</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4.泵管：连续运转1h以上泵管不损坏；</w:t>
      </w:r>
    </w:p>
    <w:p>
      <w:pPr>
        <w:adjustRightInd w:val="0"/>
        <w:snapToGrid w:val="0"/>
        <w:spacing w:line="240" w:lineRule="atLeast"/>
        <w:rPr>
          <w:rFonts w:hint="eastAsia" w:ascii="方正黑体_GBK" w:hAnsi="宋体" w:eastAsia="方正黑体_GBK"/>
          <w:sz w:val="28"/>
          <w:szCs w:val="28"/>
          <w:lang w:val="en-US" w:eastAsia="zh-CN"/>
        </w:rPr>
      </w:pPr>
      <w:r>
        <w:rPr>
          <w:rFonts w:hint="eastAsia" w:ascii="方正黑体_GBK" w:hAnsi="宋体" w:eastAsia="方正黑体_GBK"/>
          <w:sz w:val="28"/>
          <w:szCs w:val="28"/>
          <w:lang w:val="en-US" w:eastAsia="zh-CN"/>
        </w:rPr>
        <w:t>5.枪头：扇形、直型可调且最大流量不低于3000ml\分钟</w:t>
      </w:r>
    </w:p>
    <w:p>
      <w:pPr>
        <w:adjustRightInd w:val="0"/>
        <w:snapToGrid w:val="0"/>
        <w:spacing w:line="240" w:lineRule="atLeast"/>
        <w:rPr>
          <w:rFonts w:hint="eastAsia" w:ascii="方正黑体_GBK" w:hAnsi="宋体" w:eastAsia="方正黑体_GBK"/>
          <w:color w:val="FF0000"/>
          <w:sz w:val="28"/>
          <w:szCs w:val="28"/>
          <w:lang w:val="en-US" w:eastAsia="zh-CN"/>
        </w:rPr>
      </w:pPr>
      <w:r>
        <w:rPr>
          <w:rFonts w:hint="eastAsia" w:ascii="方正黑体_GBK" w:hAnsi="宋体" w:eastAsia="方正黑体_GBK"/>
          <w:color w:val="FF0000"/>
          <w:sz w:val="28"/>
          <w:szCs w:val="28"/>
          <w:lang w:val="en-US" w:eastAsia="zh-CN"/>
        </w:rPr>
        <w:t>注：1、以上参数要求全部满足；</w:t>
      </w:r>
    </w:p>
    <w:p>
      <w:pPr>
        <w:adjustRightInd w:val="0"/>
        <w:snapToGrid w:val="0"/>
        <w:spacing w:line="240" w:lineRule="atLeast"/>
        <w:rPr>
          <w:rFonts w:hint="eastAsia" w:ascii="方正黑体_GBK" w:hAnsi="宋体" w:eastAsia="方正黑体_GBK"/>
          <w:color w:val="FF0000"/>
          <w:sz w:val="28"/>
          <w:szCs w:val="28"/>
          <w:lang w:val="en-US" w:eastAsia="zh-CN"/>
        </w:rPr>
      </w:pPr>
      <w:r>
        <w:rPr>
          <w:rFonts w:hint="eastAsia" w:ascii="方正黑体_GBK" w:hAnsi="宋体" w:eastAsia="方正黑体_GBK"/>
          <w:color w:val="FF0000"/>
          <w:sz w:val="28"/>
          <w:szCs w:val="28"/>
          <w:lang w:val="en-US" w:eastAsia="zh-CN"/>
        </w:rPr>
        <w:t xml:space="preserve">    2、冲洗引流管需带样品。</w:t>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lang w:val="en-US" w:eastAsia="zh-CN"/>
        </w:rPr>
        <w:t xml:space="preserve">    </w:t>
      </w: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w:t>
      </w:r>
      <w:r>
        <w:rPr>
          <w:rFonts w:hint="eastAsia" w:ascii="方正仿宋_GBK" w:hAnsi="宋体" w:eastAsia="方正仿宋_GBK"/>
          <w:sz w:val="24"/>
          <w:u w:val="single"/>
          <w:lang w:val="en-US" w:eastAsia="zh-CN"/>
        </w:rPr>
        <w:t>3</w:t>
      </w:r>
      <w:r>
        <w:rPr>
          <w:rFonts w:hint="eastAsia" w:ascii="方正仿宋_GBK" w:hAnsi="宋体" w:eastAsia="方正仿宋_GBK"/>
          <w:sz w:val="24"/>
          <w:u w:val="single"/>
          <w:lang w:val="zh-CN"/>
        </w:rPr>
        <w:t>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adjustRightInd w:val="0"/>
        <w:snapToGrid w:val="0"/>
        <w:spacing w:line="240" w:lineRule="atLeast"/>
        <w:ind w:firstLine="480" w:firstLineChars="200"/>
        <w:rPr>
          <w:rFonts w:hint="eastAsia" w:ascii="方正仿宋_GBK" w:hAnsi="宋体" w:eastAsia="方正仿宋_GBK"/>
          <w:color w:val="FF0000"/>
          <w:sz w:val="24"/>
          <w:lang w:eastAsia="zh-CN"/>
        </w:rPr>
      </w:pPr>
      <w:r>
        <w:rPr>
          <w:rFonts w:hint="eastAsia" w:ascii="方正仿宋_GBK" w:hAnsi="宋体" w:eastAsia="方正仿宋_GBK"/>
          <w:color w:val="FF0000"/>
          <w:sz w:val="24"/>
          <w:lang w:eastAsia="zh-CN"/>
        </w:rPr>
        <w:t>（</w:t>
      </w:r>
      <w:r>
        <w:rPr>
          <w:rFonts w:hint="eastAsia" w:ascii="方正仿宋_GBK" w:hAnsi="宋体" w:eastAsia="方正仿宋_GBK"/>
          <w:color w:val="FF0000"/>
          <w:sz w:val="24"/>
          <w:lang w:val="en-US" w:eastAsia="zh-CN"/>
        </w:rPr>
        <w:t>9</w:t>
      </w:r>
      <w:r>
        <w:rPr>
          <w:rFonts w:hint="eastAsia" w:ascii="方正仿宋_GBK" w:hAnsi="宋体" w:eastAsia="方正仿宋_GBK"/>
          <w:color w:val="FF0000"/>
          <w:sz w:val="24"/>
          <w:lang w:eastAsia="zh-CN"/>
        </w:rPr>
        <w:t>）</w:t>
      </w:r>
      <w:r>
        <w:rPr>
          <w:rFonts w:hint="eastAsia" w:ascii="方正仿宋_GBK" w:hAnsi="宋体" w:eastAsia="方正仿宋_GBK"/>
          <w:color w:val="FF0000"/>
          <w:sz w:val="24"/>
          <w:lang w:val="en-US" w:eastAsia="zh-CN"/>
        </w:rPr>
        <w:t>设备为2021年1月1日以后生产的。</w:t>
      </w:r>
    </w:p>
    <w:p>
      <w:pPr>
        <w:pStyle w:val="3"/>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w:t>
      </w:r>
      <w:r>
        <w:rPr>
          <w:rFonts w:hint="eastAsia" w:ascii="方正仿宋_GBK" w:hAnsi="宋体" w:eastAsia="方正仿宋_GBK"/>
          <w:sz w:val="24"/>
          <w:lang w:val="en-US" w:eastAsia="zh-CN"/>
        </w:rPr>
        <w:t>≥3年</w:t>
      </w:r>
    </w:p>
    <w:p>
      <w:pPr>
        <w:adjustRightInd w:val="0"/>
        <w:snapToGrid w:val="0"/>
        <w:spacing w:line="240" w:lineRule="atLeast"/>
        <w:ind w:firstLine="480" w:firstLineChars="200"/>
        <w:rPr>
          <w:rFonts w:ascii="方正仿宋_GBK" w:hAnsi="宋体" w:eastAsia="方正仿宋_GBK"/>
          <w:color w:val="FF0000"/>
          <w:sz w:val="24"/>
        </w:rPr>
      </w:pPr>
      <w:r>
        <w:rPr>
          <w:rFonts w:hint="eastAsia" w:ascii="方正仿宋_GBK" w:hAnsi="宋体" w:eastAsia="方正仿宋_GBK"/>
          <w:sz w:val="24"/>
        </w:rPr>
        <w:t>供应商需保证所提供的货物是全新的、未使用过的，是完全符合合同规定的质量、规格和性能要求的。</w:t>
      </w:r>
      <w:r>
        <w:rPr>
          <w:rFonts w:hint="eastAsia" w:ascii="方正仿宋_GBK" w:hAnsi="宋体" w:eastAsia="方正仿宋_GBK" w:cs="宋体"/>
          <w:color w:val="FF0000"/>
          <w:kern w:val="0"/>
          <w:sz w:val="24"/>
        </w:rPr>
        <w:t>整机保修三年、出现故障可提供备用机、原厂保修。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3"/>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（四）付款方式</w:t>
      </w:r>
      <w:bookmarkStart w:id="5" w:name="_Toc511909619"/>
      <w:bookmarkStart w:id="6" w:name="_Toc344475123"/>
      <w:bookmarkEnd w:id="3"/>
      <w:bookmarkEnd w:id="4"/>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hint="eastAsia" w:ascii="方正仿宋_GBK" w:hAnsi="宋体" w:eastAsia="方正仿宋_GBK"/>
          <w:b w:val="0"/>
          <w:sz w:val="24"/>
          <w:szCs w:val="24"/>
        </w:rPr>
      </w:pPr>
      <w:r>
        <w:rPr>
          <w:rFonts w:hint="eastAsia" w:ascii="方正仿宋_GBK" w:hAnsi="宋体" w:eastAsia="方正仿宋_GBK"/>
          <w:b w:val="0"/>
          <w:sz w:val="24"/>
          <w:szCs w:val="24"/>
          <w:lang w:val="en-US" w:eastAsia="zh-CN"/>
        </w:rPr>
        <w:t>1、设备付款方式：</w:t>
      </w:r>
      <w:r>
        <w:rPr>
          <w:rFonts w:hint="eastAsia" w:ascii="方正仿宋_GBK" w:hAnsi="宋体" w:eastAsia="方正仿宋_GBK"/>
          <w:b w:val="0"/>
          <w:sz w:val="24"/>
          <w:szCs w:val="24"/>
        </w:rPr>
        <w:t>安装验收合格后付合同金额95％。余款5％作为质保金，质保期满后无息一次性付清（以现场谈判最终议定方式为准）。</w:t>
      </w:r>
    </w:p>
    <w:p>
      <w:pPr>
        <w:rPr>
          <w:rFonts w:hint="eastAsia" w:eastAsia="方正仿宋_GBK"/>
          <w:lang w:val="en-US" w:eastAsia="zh-CN"/>
        </w:rPr>
      </w:pPr>
      <w:r>
        <w:rPr>
          <w:rFonts w:hint="eastAsia" w:ascii="方正仿宋_GBK" w:hAnsi="宋体" w:eastAsia="方正仿宋_GBK"/>
          <w:b w:val="0"/>
          <w:sz w:val="24"/>
          <w:szCs w:val="24"/>
          <w:lang w:val="en-US" w:eastAsia="zh-CN"/>
        </w:rPr>
        <w:t xml:space="preserve">   2、耗材付款方式：以现场谈判为准。</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（五）知识产权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（六）其他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r>
        <w:rPr>
          <w:rFonts w:hint="eastAsia"/>
          <w:lang w:eastAsia="zh-CN"/>
        </w:rPr>
        <w:t>，</w:t>
      </w:r>
      <w:r>
        <w:rPr>
          <w:rFonts w:hint="eastAsia"/>
          <w:lang w:val="en-US" w:eastAsia="zh-CN"/>
        </w:rPr>
        <w:t>请密封</w:t>
      </w:r>
      <w:r>
        <w:rPr>
          <w:rFonts w:hint="eastAsia"/>
        </w:rPr>
        <w:t>）</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w:t>
      </w:r>
      <w:r>
        <w:rPr>
          <w:rFonts w:hint="eastAsia" w:ascii="方正仿宋_GBK" w:hAnsi="宋体" w:eastAsia="方正仿宋_GBK"/>
          <w:sz w:val="24"/>
          <w:lang w:val="en-US" w:eastAsia="zh-CN"/>
        </w:rPr>
        <w:t>设备初始报价</w:t>
      </w:r>
      <w:r>
        <w:rPr>
          <w:rFonts w:hint="eastAsia" w:ascii="方正仿宋_GBK" w:hAnsi="宋体" w:eastAsia="方正仿宋_GBK"/>
          <w:sz w:val="24"/>
        </w:rPr>
        <w:t>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耗材初始报价为</w:t>
      </w:r>
      <w:r>
        <w:rPr>
          <w:rFonts w:hint="eastAsia" w:ascii="方正仿宋_GBK" w:hAnsi="宋体" w:eastAsia="方正仿宋_GBK"/>
          <w:sz w:val="24"/>
        </w:rPr>
        <w:t>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w:t>
      </w:r>
      <w:r>
        <w:rPr>
          <w:rFonts w:hint="eastAsia" w:ascii="方正仿宋_GBK" w:hAnsi="宋体" w:eastAsia="方正仿宋_GBK"/>
          <w:sz w:val="24"/>
          <w:lang w:eastAsia="zh-CN"/>
        </w:rPr>
        <w:t>。</w:t>
      </w:r>
      <w:r>
        <w:rPr>
          <w:rFonts w:hint="eastAsia" w:ascii="方正仿宋_GBK" w:hAnsi="宋体" w:eastAsia="方正仿宋_GBK"/>
          <w:sz w:val="24"/>
        </w:rPr>
        <w:t>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lang w:val="en-US" w:eastAsia="zh-CN"/>
        </w:rPr>
        <w:t>贰</w:t>
      </w:r>
      <w:r>
        <w:rPr>
          <w:rFonts w:hint="eastAsia" w:ascii="方正仿宋_GBK" w:hAnsi="宋体" w:eastAsia="方正仿宋_GBK"/>
          <w:sz w:val="24"/>
        </w:rPr>
        <w:t>份</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正本一份、副本一份。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 xml:space="preserve">       </w:t>
      </w:r>
    </w:p>
    <w:p>
      <w:pPr>
        <w:pStyle w:val="9"/>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5"/>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MS Mincho">
    <w:panose1 w:val="02020609040205080304"/>
    <w:charset w:val="80"/>
    <w:family w:val="auto"/>
    <w:pitch w:val="default"/>
    <w:sig w:usb0="A00002BF" w:usb1="68C7FCFB" w:usb2="00000010" w:usb3="00000000" w:csb0="4002009F" w:csb1="DFD70000"/>
  </w:font>
  <w:font w:name="Helvetica">
    <w:altName w:val="Segoe Print"/>
    <w:panose1 w:val="020B0604020202020204"/>
    <w:charset w:val="00"/>
    <w:family w:val="auto"/>
    <w:pitch w:val="default"/>
    <w:sig w:usb0="00000003" w:usb1="00000000" w:usb2="00000000" w:usb3="00000000" w:csb0="00000001" w:csb1="00000000"/>
  </w:font>
  <w:font w:name="SymbolMT">
    <w:altName w:val="宋体"/>
    <w:panose1 w:val="00000000000000000000"/>
    <w:charset w:val="86"/>
    <w:family w:val="auto"/>
    <w:pitch w:val="default"/>
    <w:sig w:usb0="00000001" w:usb1="080E0000" w:usb2="00000010" w:usb3="00000000" w:csb0="00040000" w:csb1="00000000"/>
  </w:font>
  <w:font w:name="ArialMT">
    <w:altName w:val="Courier New"/>
    <w:panose1 w:val="00000000000000000000"/>
    <w:charset w:val="00"/>
    <w:family w:val="auto"/>
    <w:pitch w:val="default"/>
    <w:sig w:usb0="E0002AFF" w:usb1="C0007843" w:usb2="00000009" w:usb3="00000000" w:csb0="000001FF" w:csb1="00000000"/>
  </w:font>
  <w:font w:name="Verdana">
    <w:panose1 w:val="020B0604030504040204"/>
    <w:charset w:val="00"/>
    <w:family w:val="auto"/>
    <w:pitch w:val="default"/>
    <w:sig w:usb0="A00006FF" w:usb1="4000205B" w:usb2="00000010" w:usb3="00000000" w:csb0="2000019F"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昆仑楷体">
    <w:altName w:val="宋体"/>
    <w:panose1 w:val="00000000000000000000"/>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1" w:usb1="080E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5"/>
    <w:qFormat/>
    <w:uiPriority w:val="0"/>
    <w:pPr>
      <w:keepNext/>
      <w:keepLines/>
      <w:spacing w:before="260" w:after="260" w:line="413" w:lineRule="auto"/>
      <w:outlineLvl w:val="2"/>
    </w:pPr>
    <w:rPr>
      <w:b/>
      <w:sz w:val="32"/>
      <w:szCs w:val="20"/>
    </w:rPr>
  </w:style>
  <w:style w:type="character" w:default="1" w:styleId="10">
    <w:name w:val="Default Paragraph Font"/>
    <w:semiHidden/>
    <w:unhideWhenUsed/>
    <w:uiPriority w:val="1"/>
  </w:style>
  <w:style w:type="paragraph" w:styleId="4">
    <w:name w:val="Body Text"/>
    <w:basedOn w:val="1"/>
    <w:semiHidden/>
    <w:unhideWhenUsed/>
    <w:uiPriority w:val="0"/>
    <w:pPr>
      <w:spacing w:after="120"/>
    </w:pPr>
  </w:style>
  <w:style w:type="paragraph" w:styleId="5">
    <w:name w:val="Date"/>
    <w:basedOn w:val="1"/>
    <w:next w:val="1"/>
    <w:link w:val="17"/>
    <w:qFormat/>
    <w:uiPriority w:val="0"/>
    <w:rPr>
      <w:rFonts w:ascii="Calibri" w:hAnsi="Calibri" w:eastAsia="宋体"/>
      <w:sz w:val="28"/>
      <w:szCs w:val="22"/>
    </w:rPr>
  </w:style>
  <w:style w:type="paragraph" w:styleId="6">
    <w:name w:val="footer"/>
    <w:basedOn w:val="1"/>
    <w:next w:val="7"/>
    <w:link w:val="13"/>
    <w:semiHidden/>
    <w:unhideWhenUsed/>
    <w:uiPriority w:val="99"/>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szCs w:val="20"/>
    </w:rPr>
  </w:style>
  <w:style w:type="paragraph" w:customStyle="1" w:styleId="11">
    <w:name w:val="标准板式"/>
    <w:basedOn w:val="8"/>
    <w:uiPriority w:val="0"/>
    <w:pPr>
      <w:jc w:val="both"/>
    </w:pPr>
    <w:rPr>
      <w:rFonts w:ascii="宋体" w:hAnsi="宋体"/>
      <w:spacing w:val="10"/>
      <w:position w:val="-8"/>
      <w:sz w:val="24"/>
      <w:szCs w:val="24"/>
    </w:rPr>
  </w:style>
  <w:style w:type="character" w:customStyle="1" w:styleId="12">
    <w:name w:val="页眉 Char"/>
    <w:basedOn w:val="10"/>
    <w:link w:val="8"/>
    <w:qFormat/>
    <w:uiPriority w:val="0"/>
    <w:rPr>
      <w:sz w:val="18"/>
      <w:szCs w:val="18"/>
    </w:rPr>
  </w:style>
  <w:style w:type="character" w:customStyle="1" w:styleId="13">
    <w:name w:val="页脚 Char"/>
    <w:basedOn w:val="10"/>
    <w:link w:val="6"/>
    <w:semiHidden/>
    <w:uiPriority w:val="99"/>
    <w:rPr>
      <w:sz w:val="18"/>
      <w:szCs w:val="18"/>
    </w:rPr>
  </w:style>
  <w:style w:type="character" w:customStyle="1" w:styleId="14">
    <w:name w:val="标题 2 Char"/>
    <w:basedOn w:val="10"/>
    <w:link w:val="2"/>
    <w:semiHidden/>
    <w:qFormat/>
    <w:uiPriority w:val="9"/>
    <w:rPr>
      <w:rFonts w:ascii="Cambria" w:hAnsi="Cambria" w:eastAsia="宋体"/>
      <w:b/>
      <w:bCs/>
      <w:sz w:val="32"/>
      <w:szCs w:val="32"/>
    </w:rPr>
  </w:style>
  <w:style w:type="character" w:customStyle="1" w:styleId="15">
    <w:name w:val="标题 3 Char"/>
    <w:basedOn w:val="10"/>
    <w:link w:val="3"/>
    <w:qFormat/>
    <w:uiPriority w:val="0"/>
    <w:rPr>
      <w:rFonts w:ascii="Times New Roman" w:hAnsi="Times New Roman" w:eastAsia="宋体" w:cs="Times New Roman"/>
      <w:b/>
      <w:sz w:val="32"/>
      <w:szCs w:val="20"/>
    </w:rPr>
  </w:style>
  <w:style w:type="character" w:customStyle="1" w:styleId="16">
    <w:name w:val="日期 Char"/>
    <w:basedOn w:val="10"/>
    <w:link w:val="5"/>
    <w:semiHidden/>
    <w:uiPriority w:val="99"/>
    <w:rPr>
      <w:rFonts w:ascii="Times New Roman" w:hAnsi="Times New Roman" w:eastAsia="宋体" w:cs="Times New Roman"/>
      <w:szCs w:val="24"/>
    </w:rPr>
  </w:style>
  <w:style w:type="character" w:customStyle="1" w:styleId="17">
    <w:name w:val="日期 Char1"/>
    <w:basedOn w:val="10"/>
    <w:link w:val="5"/>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2022-07-01T08:47:58Z</dcterms:modified>
  <dc:title>合川区人民医院关于紧急采购核酸扩增分析仪（快检）的公告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