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80BD0">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lang w:val="en-US" w:eastAsia="zh-CN"/>
        </w:rPr>
      </w:pPr>
      <w:bookmarkStart w:id="0" w:name="_Toc232784012"/>
      <w:bookmarkStart w:id="1" w:name="_Toc197093641"/>
      <w:bookmarkStart w:id="2" w:name="_Toc232930620"/>
    </w:p>
    <w:p w14:paraId="2ACE151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lang w:val="en-US" w:eastAsia="zh-CN"/>
        </w:rPr>
        <w:t>重庆市</w:t>
      </w:r>
      <w:r>
        <w:rPr>
          <w:rFonts w:hint="eastAsia" w:ascii="方正黑体_GBK" w:hAnsi="方正黑体_GBK" w:eastAsia="方正黑体_GBK" w:cs="方正黑体_GBK"/>
          <w:b/>
          <w:bCs/>
          <w:kern w:val="44"/>
          <w:sz w:val="44"/>
          <w:szCs w:val="44"/>
        </w:rPr>
        <w:t>合川区</w:t>
      </w:r>
      <w:r>
        <w:rPr>
          <w:rFonts w:hint="eastAsia" w:ascii="方正黑体_GBK" w:hAnsi="方正黑体_GBK" w:eastAsia="方正黑体_GBK" w:cs="方正黑体_GBK"/>
          <w:b/>
          <w:bCs/>
          <w:kern w:val="44"/>
          <w:sz w:val="44"/>
          <w:szCs w:val="44"/>
          <w:lang w:val="en-US" w:eastAsia="zh-CN"/>
        </w:rPr>
        <w:t>医共体资源共享中心项目</w:t>
      </w:r>
    </w:p>
    <w:p w14:paraId="320D3DF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r>
        <w:rPr>
          <w:rFonts w:hint="eastAsia" w:ascii="方正黑体_GBK" w:hAnsi="方正黑体_GBK" w:eastAsia="方正黑体_GBK" w:cs="方正黑体_GBK"/>
          <w:b/>
          <w:bCs/>
          <w:kern w:val="44"/>
          <w:sz w:val="44"/>
          <w:szCs w:val="44"/>
        </w:rPr>
        <w:t xml:space="preserve">可行性研究报告编制项目询价函 </w:t>
      </w:r>
      <w:r>
        <w:rPr>
          <w:rFonts w:hint="eastAsia" w:ascii="方正仿宋_GBK" w:hAnsi="方正仿宋_GBK" w:eastAsia="方正仿宋_GBK" w:cs="方正仿宋_GBK"/>
          <w:b/>
          <w:bCs/>
          <w:kern w:val="44"/>
          <w:sz w:val="28"/>
          <w:szCs w:val="28"/>
        </w:rPr>
        <w:t xml:space="preserve"> </w:t>
      </w:r>
    </w:p>
    <w:p w14:paraId="17ADD0EB">
      <w:pPr>
        <w:keepNext/>
        <w:keepLines/>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_GBK" w:hAnsi="方正仿宋_GBK" w:eastAsia="方正仿宋_GBK" w:cs="方正仿宋_GBK"/>
          <w:b/>
          <w:bCs/>
          <w:kern w:val="44"/>
          <w:sz w:val="28"/>
          <w:szCs w:val="28"/>
        </w:rPr>
      </w:pPr>
      <w:r>
        <w:rPr>
          <w:rFonts w:hint="eastAsia" w:ascii="方正仿宋_GBK" w:hAnsi="方正仿宋_GBK" w:eastAsia="方正仿宋_GBK" w:cs="方正仿宋_GBK"/>
          <w:b/>
          <w:bCs/>
          <w:kern w:val="44"/>
          <w:sz w:val="28"/>
          <w:szCs w:val="28"/>
        </w:rPr>
        <w:t xml:space="preserve"> </w:t>
      </w:r>
      <w:bookmarkEnd w:id="0"/>
      <w:bookmarkEnd w:id="1"/>
      <w:bookmarkEnd w:id="2"/>
      <w:bookmarkStart w:id="3" w:name="_Toc361144029"/>
      <w:bookmarkStart w:id="4" w:name="_Toc232930626"/>
      <w:bookmarkStart w:id="5" w:name="_Toc361144035"/>
      <w:bookmarkStart w:id="6" w:name="_Toc197093647"/>
    </w:p>
    <w:p w14:paraId="55CFFB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一、询价条件</w:t>
      </w:r>
      <w:bookmarkEnd w:id="3"/>
    </w:p>
    <w:p w14:paraId="22DE21F9">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rPr>
      </w:pPr>
      <w:bookmarkStart w:id="7" w:name="_Toc197093642"/>
      <w:bookmarkStart w:id="8" w:name="_Toc232784013"/>
      <w:bookmarkStart w:id="9" w:name="_Toc232930621"/>
      <w:r>
        <w:rPr>
          <w:rFonts w:hint="eastAsia" w:ascii="方正仿宋_GBK" w:hAnsi="方正仿宋_GBK" w:eastAsia="方正仿宋_GBK" w:cs="方正仿宋_GBK"/>
          <w:sz w:val="30"/>
          <w:szCs w:val="30"/>
        </w:rPr>
        <w:t>合川区</w:t>
      </w:r>
      <w:r>
        <w:rPr>
          <w:rFonts w:hint="eastAsia" w:ascii="方正仿宋_GBK" w:hAnsi="方正仿宋_GBK" w:eastAsia="方正仿宋_GBK" w:cs="方正仿宋_GBK"/>
          <w:sz w:val="30"/>
          <w:szCs w:val="30"/>
          <w:lang w:val="en-US" w:eastAsia="zh-CN"/>
        </w:rPr>
        <w:t>医共体资源共享中心项目</w:t>
      </w:r>
      <w:r>
        <w:rPr>
          <w:rFonts w:hint="eastAsia" w:ascii="方正仿宋_GBK" w:hAnsi="方正仿宋_GBK" w:eastAsia="方正仿宋_GBK" w:cs="方正仿宋_GBK"/>
          <w:sz w:val="30"/>
          <w:szCs w:val="30"/>
        </w:rPr>
        <w:t>可行性研究报告编制项目，项目业主为重庆市合川区</w:t>
      </w:r>
      <w:r>
        <w:rPr>
          <w:rFonts w:hint="eastAsia" w:ascii="方正仿宋_GBK" w:hAnsi="方正仿宋_GBK" w:eastAsia="方正仿宋_GBK" w:cs="方正仿宋_GBK"/>
          <w:sz w:val="30"/>
          <w:szCs w:val="30"/>
          <w:lang w:val="en-US" w:eastAsia="zh-CN"/>
        </w:rPr>
        <w:t>人民医院</w:t>
      </w:r>
      <w:r>
        <w:rPr>
          <w:rFonts w:hint="eastAsia" w:ascii="方正仿宋_GBK" w:hAnsi="方正仿宋_GBK" w:eastAsia="方正仿宋_GBK" w:cs="方正仿宋_GBK"/>
          <w:sz w:val="30"/>
          <w:szCs w:val="30"/>
        </w:rPr>
        <w:t>，欢迎具有相应资质的供应商参与报价。</w:t>
      </w:r>
    </w:p>
    <w:p w14:paraId="709E54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bookmarkStart w:id="10" w:name="_Toc361144030"/>
      <w:r>
        <w:rPr>
          <w:rFonts w:hint="eastAsia" w:ascii="Times New Roman" w:hAnsi="Times New Roman" w:eastAsia="方正黑体_GBK" w:cs="Times New Roman"/>
          <w:kern w:val="2"/>
          <w:sz w:val="32"/>
          <w:szCs w:val="32"/>
          <w:lang w:val="en-US" w:eastAsia="zh-CN" w:bidi="ar-SA"/>
        </w:rPr>
        <w:t>二、项目概况与实施范围</w:t>
      </w:r>
      <w:bookmarkEnd w:id="7"/>
      <w:bookmarkEnd w:id="8"/>
      <w:bookmarkEnd w:id="9"/>
      <w:bookmarkEnd w:id="10"/>
    </w:p>
    <w:p w14:paraId="4051225C">
      <w:pPr>
        <w:keepNext w:val="0"/>
        <w:keepLines w:val="0"/>
        <w:pageBreakBefore w:val="0"/>
        <w:widowControl w:val="0"/>
        <w:tabs>
          <w:tab w:val="left" w:pos="6096"/>
        </w:tabs>
        <w:kinsoku/>
        <w:wordWrap/>
        <w:overflowPunct/>
        <w:topLinePunct w:val="0"/>
        <w:autoSpaceDE/>
        <w:autoSpaceDN/>
        <w:bidi w:val="0"/>
        <w:snapToGrid/>
        <w:spacing w:line="578" w:lineRule="exact"/>
        <w:ind w:firstLine="600" w:firstLineChars="200"/>
        <w:rPr>
          <w:rFonts w:hint="default" w:ascii="方正仿宋_GBK" w:hAnsi="方正仿宋_GBK" w:eastAsia="方正仿宋_GBK" w:cs="方正仿宋_GBK"/>
          <w:sz w:val="30"/>
          <w:szCs w:val="30"/>
          <w:lang w:val="en-US" w:eastAsia="zh-CN"/>
        </w:rPr>
      </w:pPr>
      <w:bookmarkStart w:id="11" w:name="_Toc232930622"/>
      <w:bookmarkStart w:id="12" w:name="_Toc232784014"/>
      <w:bookmarkStart w:id="13" w:name="_Toc197093643"/>
      <w:r>
        <w:rPr>
          <w:rFonts w:hint="eastAsia" w:ascii="方正仿宋_GBK" w:hAnsi="方正仿宋_GBK" w:eastAsia="方正仿宋_GBK" w:cs="方正仿宋_GBK"/>
          <w:sz w:val="30"/>
          <w:szCs w:val="30"/>
          <w:lang w:val="en-US" w:eastAsia="zh-CN"/>
        </w:rPr>
        <w:t>1、项目概况：本项目重点推进医学影像、医学检验、病理诊断、心电诊断及消毒供应的功能完善与布局优化，开展涵盖相关区域的升级改造工作，计划配置高端能谱螺旋CT（≥256排）、全数字化病理切片扫描仪、长龙多舱清洗消毒机、三重四极杆质谱仪等设备约460余台（套）。同步建设消毒供应系统、数字化病理诊断系统、病理AI系统及ISO15189实验室管理系统等信息系统。改造总面积约4000平方米，主要涵盖土建、装饰装修、安装及相关配套等工程内容。项目总投资约项目总投资9106万元，建设周期2年（即：2025年-2026年）。</w:t>
      </w:r>
    </w:p>
    <w:p w14:paraId="35ED7C3C">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2、项目位置：项目单位院区内（重庆市合川区人民医院：重庆市合川区南办处希尔安大道1366号）。</w:t>
      </w:r>
    </w:p>
    <w:p w14:paraId="41429C1F">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3、服务期限：合同签订之日起至可行性研究报告通过相关部门审核止。</w:t>
      </w:r>
    </w:p>
    <w:p w14:paraId="71665561">
      <w:pPr>
        <w:keepNext w:val="0"/>
        <w:keepLines w:val="0"/>
        <w:pageBreakBefore w:val="0"/>
        <w:widowControl w:val="0"/>
        <w:kinsoku/>
        <w:wordWrap/>
        <w:overflowPunct/>
        <w:topLinePunct w:val="0"/>
        <w:autoSpaceDE/>
        <w:autoSpaceDN/>
        <w:bidi w:val="0"/>
        <w:snapToGrid/>
        <w:spacing w:line="578" w:lineRule="exact"/>
        <w:ind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建设规模：</w:t>
      </w:r>
      <w:r>
        <w:rPr>
          <w:rFonts w:hint="eastAsia" w:ascii="方正仿宋_GBK" w:hAnsi="方正仿宋_GBK" w:eastAsia="方正仿宋_GBK" w:cs="方正仿宋_GBK"/>
          <w:sz w:val="30"/>
          <w:szCs w:val="30"/>
          <w:lang w:val="en-US" w:eastAsia="zh-CN"/>
        </w:rPr>
        <w:t>本项目重点推进医学影像、医学检验、病理诊断、心电诊断及消毒供应的功能完善与布局优化，开展涵盖相关区域的升级改造工作，计划配置多层螺旋CT(能谱功能，≥256排，探测器≥16cm等）、全数字化病理切片扫描仪、长龙多舱清洗消毒机、三重四极杆质谱仪等设备约460余台（套）。同步建设消毒供应系统、数字化病理诊断系统、病理AI系统及ISO15189实验室管理系统、区域影像诊断系统等信息系统。改造总面积约4000平方米，主要涵盖土建、装饰装修、安装及相关配套等工程内容。</w:t>
      </w:r>
    </w:p>
    <w:p w14:paraId="2811B2B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5、可行性研究报告编制范围：</w:t>
      </w:r>
      <w:bookmarkEnd w:id="11"/>
      <w:bookmarkEnd w:id="12"/>
      <w:bookmarkEnd w:id="13"/>
      <w:bookmarkStart w:id="14" w:name="OLE_LINK7"/>
      <w:bookmarkStart w:id="15" w:name="_Toc361144031"/>
      <w:r>
        <w:rPr>
          <w:rFonts w:hint="eastAsia" w:ascii="方正仿宋_GBK" w:hAnsi="方正仿宋_GBK" w:eastAsia="方正仿宋_GBK" w:cs="方正仿宋_GBK"/>
          <w:sz w:val="30"/>
          <w:szCs w:val="30"/>
          <w:lang w:val="en-US" w:eastAsia="zh-CN"/>
        </w:rPr>
        <w:t>按照国家和行业有关规程规范规定的内容和深度，完成</w:t>
      </w:r>
      <w:r>
        <w:rPr>
          <w:rFonts w:hint="eastAsia" w:ascii="方正仿宋_GBK" w:hAnsi="方正仿宋_GBK" w:eastAsia="方正仿宋_GBK" w:cs="方正仿宋_GBK"/>
          <w:sz w:val="30"/>
          <w:szCs w:val="30"/>
        </w:rPr>
        <w:t>合川区</w:t>
      </w:r>
      <w:r>
        <w:rPr>
          <w:rFonts w:hint="eastAsia" w:ascii="方正仿宋_GBK" w:hAnsi="方正仿宋_GBK" w:eastAsia="方正仿宋_GBK" w:cs="方正仿宋_GBK"/>
          <w:sz w:val="30"/>
          <w:szCs w:val="30"/>
          <w:lang w:val="en-US" w:eastAsia="zh-CN"/>
        </w:rPr>
        <w:t>医共体资源共享中心项目可行性研究报告编制项目的编制工作，开展相关服务与配合工作，配合完成国家或行业主管部门的审查、评估以及委托方内部评审等工作。</w:t>
      </w:r>
      <w:bookmarkEnd w:id="14"/>
    </w:p>
    <w:p w14:paraId="02C034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三、资格要求</w:t>
      </w:r>
      <w:bookmarkEnd w:id="15"/>
      <w:bookmarkStart w:id="16" w:name="OLE_LINK2"/>
      <w:bookmarkStart w:id="17" w:name="OLE_LINK1"/>
      <w:bookmarkStart w:id="18" w:name="OLE_LINK3"/>
    </w:p>
    <w:p w14:paraId="7CFCD2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具备建设行政主管部门颁发的工程咨询甲级</w:t>
      </w:r>
      <w:bookmarkEnd w:id="16"/>
      <w:bookmarkEnd w:id="17"/>
      <w:r>
        <w:rPr>
          <w:rFonts w:hint="eastAsia" w:ascii="方正仿宋_GBK" w:hAnsi="方正仿宋_GBK" w:eastAsia="方正仿宋_GBK" w:cs="方正仿宋_GBK"/>
          <w:sz w:val="30"/>
          <w:szCs w:val="30"/>
          <w:lang w:val="en-US" w:eastAsia="zh-CN"/>
        </w:rPr>
        <w:t>资信证书</w:t>
      </w:r>
    </w:p>
    <w:p w14:paraId="7CE89B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四、质量要求</w:t>
      </w:r>
    </w:p>
    <w:p w14:paraId="086733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符合审查和规范要求并通过相关部门技术审查</w:t>
      </w:r>
    </w:p>
    <w:p w14:paraId="46FF3D7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五、深度要求</w:t>
      </w:r>
    </w:p>
    <w:p w14:paraId="6C104189">
      <w:pPr>
        <w:adjustRightInd w:val="0"/>
        <w:snapToGrid w:val="0"/>
        <w:spacing w:line="640"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满足国家和行业有关规程规范规定的内容和</w:t>
      </w:r>
      <w:bookmarkEnd w:id="18"/>
      <w:bookmarkStart w:id="19" w:name="_Toc361144032"/>
      <w:bookmarkStart w:id="20" w:name="_Toc197093644"/>
      <w:bookmarkStart w:id="21" w:name="_Toc232784015"/>
      <w:bookmarkStart w:id="22" w:name="_Toc232930623"/>
      <w:r>
        <w:rPr>
          <w:rFonts w:hint="eastAsia" w:ascii="方正仿宋_GBK" w:hAnsi="方正仿宋_GBK" w:eastAsia="方正仿宋_GBK" w:cs="方正仿宋_GBK"/>
          <w:sz w:val="30"/>
          <w:szCs w:val="30"/>
          <w:lang w:val="en-US" w:eastAsia="zh-CN"/>
        </w:rPr>
        <w:t>深度，且该项目需争取中央资金、债券资金，各潜在报名单位应按要求出具争取中央资金债、券资金的成果报告</w:t>
      </w:r>
      <w:r>
        <w:rPr>
          <w:rFonts w:hint="eastAsia" w:ascii="方正仿宋_GBK" w:hAnsi="方正仿宋_GBK" w:eastAsia="方正仿宋_GBK" w:cs="方正仿宋_GBK"/>
          <w:sz w:val="30"/>
          <w:szCs w:val="30"/>
          <w:lang w:val="zh-CN" w:eastAsia="zh-CN"/>
        </w:rPr>
        <w:t>。</w:t>
      </w:r>
    </w:p>
    <w:p w14:paraId="5130AFE8">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支付方式</w:t>
      </w:r>
    </w:p>
    <w:p w14:paraId="3ABB98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出具可研成果报告并取得可研批复后30个工作日内支付合同金额的50%咨询费，待中央资金或债券资金下达后再支付剩余50%咨询费。</w:t>
      </w:r>
    </w:p>
    <w:bookmarkEnd w:id="19"/>
    <w:bookmarkEnd w:id="20"/>
    <w:bookmarkEnd w:id="21"/>
    <w:bookmarkEnd w:id="22"/>
    <w:p w14:paraId="62212D3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七、报价要求</w:t>
      </w:r>
    </w:p>
    <w:p w14:paraId="4B5EDC5C">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sz w:val="30"/>
          <w:szCs w:val="30"/>
          <w:lang w:val="en-US" w:eastAsia="zh-CN"/>
        </w:rPr>
        <w:t>本项目可行性研究费包括本工程建设内容范围内的可研编制的所有工作，以及协助招标人完成各项审批手续办理的服务人员和相关工作人员的人工成本、劳保、医疗、福利、津贴、保险、差旅费、资料费、各阶段评审专家咨询费及会务费用以及单位的管理费、税金、利润等一切可预见和不可预见费用。</w:t>
      </w:r>
      <w:r>
        <w:rPr>
          <w:rFonts w:hint="eastAsia" w:ascii="方正仿宋_GBK" w:hAnsi="方正仿宋_GBK" w:eastAsia="方正仿宋_GBK" w:cs="方正仿宋_GBK"/>
          <w:b w:val="0"/>
          <w:bCs w:val="0"/>
          <w:sz w:val="30"/>
          <w:szCs w:val="30"/>
          <w:highlight w:val="none"/>
          <w:lang w:val="en-US" w:eastAsia="zh-CN"/>
        </w:rPr>
        <w:t>报价资料于2025年9月28日17:00前发送978838182@qq.com邮箱</w:t>
      </w:r>
      <w:r>
        <w:rPr>
          <w:rFonts w:hint="eastAsia" w:ascii="方正仿宋_GBK" w:hAnsi="方正仿宋_GBK" w:eastAsia="方正仿宋_GBK" w:cs="方正仿宋_GBK"/>
          <w:b w:val="0"/>
          <w:bCs w:val="0"/>
          <w:color w:val="0000FF"/>
          <w:sz w:val="30"/>
          <w:szCs w:val="30"/>
          <w:highlight w:val="none"/>
          <w:lang w:val="en-US" w:eastAsia="zh-CN"/>
        </w:rPr>
        <w:t>，</w:t>
      </w:r>
      <w:r>
        <w:rPr>
          <w:rFonts w:hint="eastAsia" w:ascii="方正仿宋_GBK" w:hAnsi="方正仿宋_GBK" w:eastAsia="方正仿宋_GBK" w:cs="方正仿宋_GBK"/>
          <w:b w:val="0"/>
          <w:bCs w:val="0"/>
          <w:sz w:val="30"/>
          <w:szCs w:val="30"/>
          <w:highlight w:val="none"/>
          <w:lang w:val="en-US" w:eastAsia="zh-CN"/>
        </w:rPr>
        <w:t>逾期不再受理。</w:t>
      </w:r>
    </w:p>
    <w:p w14:paraId="0C91C57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八、联系方式</w:t>
      </w:r>
    </w:p>
    <w:p w14:paraId="43F107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联系人：张老师</w:t>
      </w:r>
    </w:p>
    <w:p w14:paraId="4596DC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联系电话：</w:t>
      </w:r>
      <w:bookmarkStart w:id="23" w:name="_GoBack"/>
      <w:r>
        <w:rPr>
          <w:rFonts w:hint="eastAsia" w:ascii="方正仿宋_GBK" w:hAnsi="方正仿宋_GBK" w:eastAsia="方正仿宋_GBK" w:cs="方正仿宋_GBK"/>
          <w:sz w:val="30"/>
          <w:szCs w:val="30"/>
          <w:lang w:val="en-US" w:eastAsia="zh-CN"/>
        </w:rPr>
        <w:t>13617696389</w:t>
      </w:r>
      <w:bookmarkEnd w:id="23"/>
    </w:p>
    <w:bookmarkEnd w:id="4"/>
    <w:bookmarkEnd w:id="5"/>
    <w:bookmarkEnd w:id="6"/>
    <w:p w14:paraId="3E82A1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val="0"/>
          <w:sz w:val="30"/>
          <w:szCs w:val="30"/>
          <w:highlight w:val="none"/>
          <w:lang w:val="en-US" w:eastAsia="zh-CN"/>
        </w:rPr>
      </w:pPr>
      <w:r>
        <w:rPr>
          <w:rFonts w:hint="eastAsia" w:ascii="Times New Roman" w:hAnsi="Times New Roman" w:eastAsia="方正黑体_GBK" w:cs="Times New Roman"/>
          <w:kern w:val="2"/>
          <w:sz w:val="32"/>
          <w:szCs w:val="32"/>
          <w:lang w:val="en-US" w:eastAsia="zh-CN" w:bidi="ar-SA"/>
        </w:rPr>
        <w:t xml:space="preserve">                    </w:t>
      </w:r>
      <w:r>
        <w:rPr>
          <w:rFonts w:hint="eastAsia" w:ascii="方正仿宋_GBK" w:hAnsi="方正仿宋_GBK" w:eastAsia="方正仿宋_GBK" w:cs="方正仿宋_GBK"/>
          <w:b w:val="0"/>
          <w:bCs w:val="0"/>
          <w:sz w:val="30"/>
          <w:szCs w:val="30"/>
          <w:highlight w:val="none"/>
          <w:lang w:val="en-US" w:eastAsia="zh-CN"/>
        </w:rPr>
        <w:t xml:space="preserve">       </w:t>
      </w:r>
    </w:p>
    <w:p w14:paraId="202E4461">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br w:type="page"/>
      </w:r>
    </w:p>
    <w:p w14:paraId="488F022A">
      <w:pPr>
        <w:jc w:val="both"/>
        <w:rPr>
          <w:rFonts w:hint="eastAsia" w:ascii="仿宋" w:hAnsi="仿宋" w:eastAsia="仿宋" w:cs="仿宋"/>
          <w:b/>
          <w:bCs/>
          <w:sz w:val="40"/>
          <w:szCs w:val="48"/>
        </w:rPr>
      </w:pPr>
    </w:p>
    <w:p w14:paraId="27E06075">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 价 函</w:t>
      </w:r>
    </w:p>
    <w:p w14:paraId="7C814D57">
      <w:pPr>
        <w:spacing w:line="500" w:lineRule="exact"/>
        <w:rPr>
          <w:rFonts w:ascii="仿宋" w:hAnsi="仿宋" w:eastAsia="仿宋" w:cs="仿宋"/>
          <w:sz w:val="28"/>
          <w:szCs w:val="28"/>
        </w:rPr>
      </w:pPr>
    </w:p>
    <w:p w14:paraId="03E66DD1">
      <w:pPr>
        <w:ind w:left="-210" w:leftChars="-100" w:right="-210" w:rightChars="-100"/>
        <w:rPr>
          <w:rFonts w:hint="eastAsia" w:ascii="仿宋" w:hAnsi="仿宋" w:eastAsia="仿宋" w:cs="仿宋"/>
          <w:sz w:val="32"/>
          <w:szCs w:val="32"/>
        </w:rPr>
      </w:pPr>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w:t>
      </w:r>
      <w:r>
        <w:rPr>
          <w:rFonts w:hint="eastAsia" w:ascii="仿宋" w:hAnsi="仿宋" w:eastAsia="仿宋" w:cs="仿宋"/>
          <w:sz w:val="32"/>
          <w:szCs w:val="32"/>
        </w:rPr>
        <w:t>：</w:t>
      </w:r>
    </w:p>
    <w:p w14:paraId="2C73BB74">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我方收到贵单位关于</w:t>
      </w:r>
      <w:r>
        <w:rPr>
          <w:rFonts w:hint="eastAsia" w:ascii="方正仿宋_GBK" w:hAnsi="方正仿宋_GBK" w:eastAsia="方正仿宋_GBK" w:cs="方正仿宋_GBK"/>
          <w:b/>
          <w:bCs/>
          <w:sz w:val="32"/>
          <w:szCs w:val="32"/>
          <w:u w:val="single"/>
        </w:rPr>
        <w:t>合川区</w:t>
      </w:r>
      <w:r>
        <w:rPr>
          <w:rFonts w:hint="eastAsia" w:ascii="方正仿宋_GBK" w:hAnsi="方正仿宋_GBK" w:eastAsia="方正仿宋_GBK" w:cs="方正仿宋_GBK"/>
          <w:b/>
          <w:bCs/>
          <w:sz w:val="32"/>
          <w:szCs w:val="32"/>
          <w:u w:val="single"/>
          <w:lang w:val="en-US" w:eastAsia="zh-CN"/>
        </w:rPr>
        <w:t>医共体资源共享中心项目</w:t>
      </w:r>
      <w:r>
        <w:rPr>
          <w:rFonts w:hint="eastAsia" w:ascii="方正仿宋_GBK" w:hAnsi="方正仿宋_GBK" w:eastAsia="方正仿宋_GBK" w:cs="方正仿宋_GBK"/>
          <w:b/>
          <w:bCs/>
          <w:sz w:val="32"/>
          <w:szCs w:val="32"/>
          <w:u w:val="single"/>
        </w:rPr>
        <w:t>研究报告编制项目</w:t>
      </w:r>
      <w:r>
        <w:rPr>
          <w:rFonts w:hint="eastAsia" w:ascii="方正仿宋_GBK" w:hAnsi="方正仿宋_GBK" w:eastAsia="方正仿宋_GBK" w:cs="方正仿宋_GBK"/>
          <w:sz w:val="32"/>
          <w:szCs w:val="32"/>
        </w:rPr>
        <w:t>询价函，经详细研究，决定参加该项目的竞价。</w:t>
      </w:r>
    </w:p>
    <w:p w14:paraId="0C56EBD8">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我方愿意按照该项目询价函中的一切要求，提供可行性研究服务。总价包干为人民币大写：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（小写RMB：</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p>
    <w:p w14:paraId="6290FF8A">
      <w:pPr>
        <w:ind w:firstLine="640" w:firstLineChars="200"/>
        <w:rPr>
          <w:rFonts w:hint="eastAsia" w:ascii="方正仿宋_GBK" w:hAnsi="方正仿宋_GBK" w:eastAsia="方正仿宋_GBK" w:cs="方正仿宋_GBK"/>
          <w:sz w:val="32"/>
          <w:szCs w:val="32"/>
        </w:rPr>
      </w:pPr>
    </w:p>
    <w:p w14:paraId="60F34224">
      <w:pPr>
        <w:ind w:firstLine="640" w:firstLineChars="200"/>
        <w:rPr>
          <w:rFonts w:hint="eastAsia" w:ascii="方正仿宋_GBK" w:hAnsi="方正仿宋_GBK" w:eastAsia="方正仿宋_GBK" w:cs="方正仿宋_GBK"/>
          <w:sz w:val="32"/>
          <w:szCs w:val="40"/>
        </w:rPr>
      </w:pPr>
    </w:p>
    <w:p w14:paraId="0C1382D6">
      <w:pPr>
        <w:ind w:firstLine="640" w:firstLineChars="200"/>
        <w:rPr>
          <w:rFonts w:ascii="仿宋" w:hAnsi="仿宋" w:eastAsia="仿宋" w:cs="仿宋"/>
          <w:sz w:val="32"/>
          <w:szCs w:val="40"/>
        </w:rPr>
      </w:pPr>
      <w:r>
        <w:rPr>
          <w:rFonts w:hint="eastAsia" w:ascii="仿宋" w:hAnsi="仿宋" w:eastAsia="仿宋" w:cs="仿宋"/>
          <w:sz w:val="32"/>
          <w:szCs w:val="40"/>
        </w:rPr>
        <w:t>竞价单位（公章）：</w:t>
      </w:r>
      <w:r>
        <w:rPr>
          <w:rFonts w:hint="eastAsia" w:ascii="仿宋" w:hAnsi="仿宋" w:eastAsia="仿宋" w:cs="仿宋"/>
          <w:snapToGrid w:val="0"/>
          <w:color w:val="000000"/>
          <w:kern w:val="0"/>
          <w:sz w:val="30"/>
          <w:szCs w:val="30"/>
        </w:rPr>
        <w:t xml:space="preserve"> </w:t>
      </w:r>
      <w:r>
        <w:rPr>
          <w:rFonts w:hint="eastAsia" w:ascii="仿宋" w:hAnsi="仿宋" w:eastAsia="仿宋" w:cs="仿宋"/>
          <w:sz w:val="32"/>
          <w:szCs w:val="40"/>
        </w:rPr>
        <w:t xml:space="preserve">         </w:t>
      </w:r>
    </w:p>
    <w:p w14:paraId="77F2A6D6">
      <w:pPr>
        <w:ind w:firstLine="640" w:firstLineChars="200"/>
        <w:rPr>
          <w:rFonts w:ascii="仿宋" w:hAnsi="仿宋" w:eastAsia="仿宋" w:cs="仿宋"/>
          <w:sz w:val="32"/>
          <w:szCs w:val="40"/>
        </w:rPr>
      </w:pPr>
      <w:r>
        <w:rPr>
          <w:rFonts w:hint="eastAsia" w:ascii="仿宋" w:hAnsi="仿宋" w:eastAsia="仿宋" w:cs="仿宋"/>
          <w:sz w:val="32"/>
          <w:szCs w:val="40"/>
        </w:rPr>
        <w:t xml:space="preserve">联系人： </w:t>
      </w:r>
    </w:p>
    <w:p w14:paraId="76D99FB0">
      <w:pPr>
        <w:ind w:firstLine="640" w:firstLineChars="200"/>
        <w:rPr>
          <w:rFonts w:ascii="仿宋" w:hAnsi="仿宋" w:eastAsia="仿宋" w:cs="仿宋"/>
          <w:sz w:val="32"/>
          <w:szCs w:val="40"/>
        </w:rPr>
      </w:pPr>
      <w:r>
        <w:rPr>
          <w:rFonts w:hint="eastAsia" w:ascii="仿宋" w:hAnsi="仿宋" w:eastAsia="仿宋" w:cs="仿宋"/>
          <w:sz w:val="32"/>
          <w:szCs w:val="40"/>
        </w:rPr>
        <w:t>地址：</w:t>
      </w:r>
      <w:r>
        <w:rPr>
          <w:rFonts w:hint="eastAsia" w:ascii="仿宋" w:hAnsi="仿宋" w:eastAsia="仿宋" w:cs="仿宋"/>
          <w:color w:val="000000"/>
          <w:sz w:val="32"/>
          <w:szCs w:val="32"/>
        </w:rPr>
        <w:t xml:space="preserve">                           </w:t>
      </w:r>
      <w:r>
        <w:rPr>
          <w:rFonts w:hint="eastAsia" w:ascii="仿宋" w:hAnsi="仿宋" w:eastAsia="仿宋" w:cs="仿宋"/>
          <w:sz w:val="32"/>
          <w:szCs w:val="40"/>
        </w:rPr>
        <w:t>邮编：</w:t>
      </w:r>
    </w:p>
    <w:p w14:paraId="6EF042F4">
      <w:pPr>
        <w:ind w:firstLine="640" w:firstLineChars="200"/>
        <w:rPr>
          <w:rFonts w:ascii="仿宋" w:hAnsi="仿宋" w:eastAsia="仿宋" w:cs="仿宋"/>
          <w:sz w:val="32"/>
          <w:szCs w:val="40"/>
        </w:rPr>
      </w:pPr>
      <w:r>
        <w:rPr>
          <w:rFonts w:hint="eastAsia" w:ascii="仿宋" w:hAnsi="仿宋" w:eastAsia="仿宋" w:cs="仿宋"/>
          <w:sz w:val="32"/>
          <w:szCs w:val="40"/>
        </w:rPr>
        <w:t xml:space="preserve">电话：                           邮箱：            </w:t>
      </w:r>
    </w:p>
    <w:p w14:paraId="20D9BAB9">
      <w:pPr>
        <w:ind w:firstLine="640" w:firstLineChars="200"/>
        <w:rPr>
          <w:rFonts w:ascii="仿宋" w:hAnsi="仿宋" w:eastAsia="仿宋" w:cs="仿宋"/>
          <w:sz w:val="32"/>
          <w:szCs w:val="40"/>
        </w:rPr>
      </w:pPr>
    </w:p>
    <w:p w14:paraId="32CC7C81">
      <w:pPr>
        <w:ind w:firstLine="640" w:firstLineChars="200"/>
        <w:rPr>
          <w:rFonts w:ascii="仿宋" w:hAnsi="仿宋" w:eastAsia="仿宋" w:cs="仿宋"/>
          <w:sz w:val="32"/>
          <w:szCs w:val="40"/>
        </w:rPr>
      </w:pPr>
    </w:p>
    <w:p w14:paraId="7FF14348">
      <w:pPr>
        <w:ind w:firstLine="640" w:firstLineChars="200"/>
        <w:rPr>
          <w:rFonts w:ascii="仿宋" w:hAnsi="仿宋" w:eastAsia="仿宋" w:cs="仿宋"/>
          <w:sz w:val="32"/>
          <w:szCs w:val="40"/>
        </w:rPr>
      </w:pPr>
      <w:r>
        <w:rPr>
          <w:rFonts w:hint="eastAsia" w:ascii="仿宋" w:hAnsi="仿宋" w:eastAsia="仿宋" w:cs="仿宋"/>
          <w:sz w:val="32"/>
          <w:szCs w:val="40"/>
        </w:rPr>
        <w:t xml:space="preserve">                                 年  月  日  </w:t>
      </w:r>
    </w:p>
    <w:p w14:paraId="5C4FEFBF">
      <w:pPr>
        <w:ind w:firstLine="640" w:firstLineChars="200"/>
        <w:rPr>
          <w:rFonts w:ascii="仿宋" w:hAnsi="仿宋" w:eastAsia="仿宋" w:cs="仿宋"/>
          <w:sz w:val="32"/>
          <w:szCs w:val="40"/>
        </w:rPr>
      </w:pPr>
    </w:p>
    <w:p w14:paraId="61AF3660">
      <w:pPr>
        <w:ind w:firstLine="640" w:firstLineChars="200"/>
        <w:rPr>
          <w:rFonts w:ascii="仿宋" w:hAnsi="仿宋" w:eastAsia="仿宋" w:cs="仿宋"/>
          <w:sz w:val="32"/>
          <w:szCs w:val="40"/>
        </w:rPr>
      </w:pPr>
    </w:p>
    <w:p w14:paraId="35AECA33">
      <w:pPr>
        <w:ind w:firstLine="640" w:firstLineChars="200"/>
        <w:rPr>
          <w:rFonts w:ascii="仿宋" w:hAnsi="仿宋" w:eastAsia="仿宋" w:cs="仿宋"/>
          <w:sz w:val="32"/>
          <w:szCs w:val="40"/>
        </w:rPr>
      </w:pPr>
    </w:p>
    <w:p w14:paraId="2DBEF242">
      <w:pPr>
        <w:ind w:firstLine="640" w:firstLineChars="200"/>
        <w:rPr>
          <w:rFonts w:ascii="仿宋" w:hAnsi="仿宋" w:eastAsia="仿宋" w:cs="仿宋"/>
          <w:sz w:val="32"/>
          <w:szCs w:val="40"/>
        </w:rPr>
      </w:pPr>
    </w:p>
    <w:p w14:paraId="26DDB492">
      <w:pPr>
        <w:ind w:firstLine="640" w:firstLineChars="200"/>
        <w:rPr>
          <w:rFonts w:ascii="仿宋" w:hAnsi="仿宋" w:eastAsia="仿宋" w:cs="仿宋"/>
          <w:sz w:val="32"/>
          <w:szCs w:val="40"/>
        </w:rPr>
      </w:pPr>
    </w:p>
    <w:p w14:paraId="4C3013D2">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72DD04F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73F75441">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报价明细表</w:t>
      </w:r>
    </w:p>
    <w:p w14:paraId="2DBCA474">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5816DE9F">
      <w:pPr>
        <w:spacing w:line="400" w:lineRule="exact"/>
        <w:ind w:left="7000" w:hanging="7000" w:hangingChars="25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项目名称：</w:t>
      </w:r>
      <w:r>
        <w:rPr>
          <w:rFonts w:hint="eastAsia" w:ascii="方正仿宋_GBK" w:hAnsi="方正仿宋_GBK" w:eastAsia="方正仿宋_GBK" w:cs="方正仿宋_GBK"/>
          <w:sz w:val="28"/>
          <w:szCs w:val="28"/>
        </w:rPr>
        <w:t xml:space="preserve">                                                             单位：元   </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74"/>
        <w:gridCol w:w="1562"/>
        <w:gridCol w:w="1562"/>
        <w:gridCol w:w="1470"/>
        <w:gridCol w:w="1391"/>
      </w:tblGrid>
      <w:tr w14:paraId="2E55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19" w:type="dxa"/>
            <w:vAlign w:val="center"/>
          </w:tcPr>
          <w:p w14:paraId="15123055">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474" w:type="dxa"/>
            <w:vAlign w:val="center"/>
          </w:tcPr>
          <w:p w14:paraId="6F6AED5D">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名称</w:t>
            </w:r>
          </w:p>
        </w:tc>
        <w:tc>
          <w:tcPr>
            <w:tcW w:w="1562" w:type="dxa"/>
          </w:tcPr>
          <w:p w14:paraId="1BCD3324">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单位</w:t>
            </w:r>
          </w:p>
        </w:tc>
        <w:tc>
          <w:tcPr>
            <w:tcW w:w="1562" w:type="dxa"/>
            <w:vAlign w:val="center"/>
          </w:tcPr>
          <w:p w14:paraId="54DE3149">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数量</w:t>
            </w:r>
          </w:p>
        </w:tc>
        <w:tc>
          <w:tcPr>
            <w:tcW w:w="1470" w:type="dxa"/>
            <w:vAlign w:val="center"/>
          </w:tcPr>
          <w:p w14:paraId="0041C67E">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单价</w:t>
            </w:r>
          </w:p>
        </w:tc>
        <w:tc>
          <w:tcPr>
            <w:tcW w:w="1391" w:type="dxa"/>
            <w:vAlign w:val="center"/>
          </w:tcPr>
          <w:p w14:paraId="4A6A7EF7">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合计</w:t>
            </w:r>
          </w:p>
        </w:tc>
      </w:tr>
      <w:tr w14:paraId="1FB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19" w:type="dxa"/>
            <w:vAlign w:val="center"/>
          </w:tcPr>
          <w:p w14:paraId="58886E22">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474" w:type="dxa"/>
            <w:vAlign w:val="center"/>
          </w:tcPr>
          <w:p w14:paraId="7549CBA2">
            <w:pPr>
              <w:jc w:val="center"/>
              <w:rPr>
                <w:rFonts w:hint="eastAsia" w:ascii="方正仿宋_GBK" w:hAnsi="方正仿宋_GBK" w:eastAsia="方正仿宋_GBK" w:cs="方正仿宋_GBK"/>
                <w:sz w:val="28"/>
                <w:szCs w:val="28"/>
              </w:rPr>
            </w:pPr>
          </w:p>
        </w:tc>
        <w:tc>
          <w:tcPr>
            <w:tcW w:w="1562" w:type="dxa"/>
          </w:tcPr>
          <w:p w14:paraId="224737DF">
            <w:pPr>
              <w:jc w:val="center"/>
              <w:rPr>
                <w:rFonts w:hint="eastAsia" w:ascii="方正仿宋_GBK" w:hAnsi="方正仿宋_GBK" w:eastAsia="方正仿宋_GBK" w:cs="方正仿宋_GBK"/>
                <w:sz w:val="28"/>
                <w:szCs w:val="28"/>
              </w:rPr>
            </w:pPr>
          </w:p>
        </w:tc>
        <w:tc>
          <w:tcPr>
            <w:tcW w:w="1562" w:type="dxa"/>
            <w:vAlign w:val="center"/>
          </w:tcPr>
          <w:p w14:paraId="17B2FFB4">
            <w:pPr>
              <w:jc w:val="center"/>
              <w:rPr>
                <w:rFonts w:hint="eastAsia" w:ascii="方正仿宋_GBK" w:hAnsi="方正仿宋_GBK" w:eastAsia="方正仿宋_GBK" w:cs="方正仿宋_GBK"/>
                <w:sz w:val="28"/>
                <w:szCs w:val="28"/>
                <w:highlight w:val="yellow"/>
              </w:rPr>
            </w:pPr>
          </w:p>
        </w:tc>
        <w:tc>
          <w:tcPr>
            <w:tcW w:w="1470" w:type="dxa"/>
            <w:vAlign w:val="center"/>
          </w:tcPr>
          <w:p w14:paraId="48280B89">
            <w:pPr>
              <w:jc w:val="center"/>
              <w:rPr>
                <w:rFonts w:hint="eastAsia" w:ascii="方正仿宋_GBK" w:hAnsi="方正仿宋_GBK" w:eastAsia="方正仿宋_GBK" w:cs="方正仿宋_GBK"/>
                <w:sz w:val="28"/>
                <w:szCs w:val="28"/>
              </w:rPr>
            </w:pPr>
          </w:p>
        </w:tc>
        <w:tc>
          <w:tcPr>
            <w:tcW w:w="1391" w:type="dxa"/>
            <w:vAlign w:val="center"/>
          </w:tcPr>
          <w:p w14:paraId="4548FE55">
            <w:pPr>
              <w:jc w:val="center"/>
              <w:rPr>
                <w:rFonts w:hint="eastAsia" w:ascii="方正仿宋_GBK" w:hAnsi="方正仿宋_GBK" w:eastAsia="方正仿宋_GBK" w:cs="方正仿宋_GBK"/>
                <w:sz w:val="28"/>
                <w:szCs w:val="28"/>
              </w:rPr>
            </w:pPr>
          </w:p>
        </w:tc>
      </w:tr>
      <w:tr w14:paraId="5C63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19" w:type="dxa"/>
            <w:vAlign w:val="center"/>
          </w:tcPr>
          <w:p w14:paraId="4E6818DA">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474" w:type="dxa"/>
            <w:vAlign w:val="center"/>
          </w:tcPr>
          <w:p w14:paraId="0AF61DAA">
            <w:pPr>
              <w:jc w:val="center"/>
              <w:rPr>
                <w:rFonts w:hint="eastAsia" w:ascii="方正仿宋_GBK" w:hAnsi="方正仿宋_GBK" w:eastAsia="方正仿宋_GBK" w:cs="方正仿宋_GBK"/>
                <w:sz w:val="28"/>
                <w:szCs w:val="28"/>
              </w:rPr>
            </w:pPr>
          </w:p>
        </w:tc>
        <w:tc>
          <w:tcPr>
            <w:tcW w:w="1562" w:type="dxa"/>
          </w:tcPr>
          <w:p w14:paraId="5FF5C1BA">
            <w:pPr>
              <w:jc w:val="center"/>
              <w:rPr>
                <w:rFonts w:hint="eastAsia" w:ascii="方正仿宋_GBK" w:hAnsi="方正仿宋_GBK" w:eastAsia="方正仿宋_GBK" w:cs="方正仿宋_GBK"/>
                <w:sz w:val="28"/>
                <w:szCs w:val="28"/>
              </w:rPr>
            </w:pPr>
          </w:p>
        </w:tc>
        <w:tc>
          <w:tcPr>
            <w:tcW w:w="1562" w:type="dxa"/>
            <w:vAlign w:val="center"/>
          </w:tcPr>
          <w:p w14:paraId="0F1F40B3">
            <w:pPr>
              <w:jc w:val="center"/>
              <w:rPr>
                <w:rFonts w:hint="eastAsia" w:ascii="方正仿宋_GBK" w:hAnsi="方正仿宋_GBK" w:eastAsia="方正仿宋_GBK" w:cs="方正仿宋_GBK"/>
                <w:sz w:val="28"/>
                <w:szCs w:val="28"/>
                <w:highlight w:val="yellow"/>
              </w:rPr>
            </w:pPr>
          </w:p>
        </w:tc>
        <w:tc>
          <w:tcPr>
            <w:tcW w:w="1470" w:type="dxa"/>
            <w:vAlign w:val="center"/>
          </w:tcPr>
          <w:p w14:paraId="32B2BC67">
            <w:pPr>
              <w:jc w:val="center"/>
              <w:rPr>
                <w:rFonts w:hint="eastAsia" w:ascii="方正仿宋_GBK" w:hAnsi="方正仿宋_GBK" w:eastAsia="方正仿宋_GBK" w:cs="方正仿宋_GBK"/>
                <w:sz w:val="28"/>
                <w:szCs w:val="28"/>
              </w:rPr>
            </w:pPr>
          </w:p>
        </w:tc>
        <w:tc>
          <w:tcPr>
            <w:tcW w:w="1391" w:type="dxa"/>
            <w:vAlign w:val="center"/>
          </w:tcPr>
          <w:p w14:paraId="7FE8B521">
            <w:pPr>
              <w:jc w:val="center"/>
              <w:rPr>
                <w:rFonts w:hint="eastAsia" w:ascii="方正仿宋_GBK" w:hAnsi="方正仿宋_GBK" w:eastAsia="方正仿宋_GBK" w:cs="方正仿宋_GBK"/>
                <w:sz w:val="28"/>
                <w:szCs w:val="28"/>
              </w:rPr>
            </w:pPr>
          </w:p>
        </w:tc>
      </w:tr>
      <w:tr w14:paraId="7FEB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19" w:type="dxa"/>
            <w:vAlign w:val="center"/>
          </w:tcPr>
          <w:p w14:paraId="1DC473FC">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474" w:type="dxa"/>
            <w:vAlign w:val="center"/>
          </w:tcPr>
          <w:p w14:paraId="44934B2B">
            <w:pPr>
              <w:jc w:val="center"/>
              <w:rPr>
                <w:rFonts w:hint="eastAsia" w:ascii="方正仿宋_GBK" w:hAnsi="方正仿宋_GBK" w:eastAsia="方正仿宋_GBK" w:cs="方正仿宋_GBK"/>
                <w:sz w:val="28"/>
                <w:szCs w:val="28"/>
              </w:rPr>
            </w:pPr>
          </w:p>
        </w:tc>
        <w:tc>
          <w:tcPr>
            <w:tcW w:w="1562" w:type="dxa"/>
          </w:tcPr>
          <w:p w14:paraId="2608B0E2">
            <w:pPr>
              <w:jc w:val="center"/>
              <w:rPr>
                <w:rFonts w:hint="eastAsia" w:ascii="方正仿宋_GBK" w:hAnsi="方正仿宋_GBK" w:eastAsia="方正仿宋_GBK" w:cs="方正仿宋_GBK"/>
                <w:sz w:val="28"/>
                <w:szCs w:val="28"/>
              </w:rPr>
            </w:pPr>
          </w:p>
        </w:tc>
        <w:tc>
          <w:tcPr>
            <w:tcW w:w="1562" w:type="dxa"/>
            <w:vAlign w:val="center"/>
          </w:tcPr>
          <w:p w14:paraId="15D0796D">
            <w:pPr>
              <w:jc w:val="center"/>
              <w:rPr>
                <w:rFonts w:hint="eastAsia" w:ascii="方正仿宋_GBK" w:hAnsi="方正仿宋_GBK" w:eastAsia="方正仿宋_GBK" w:cs="方正仿宋_GBK"/>
                <w:sz w:val="28"/>
                <w:szCs w:val="28"/>
                <w:highlight w:val="yellow"/>
              </w:rPr>
            </w:pPr>
          </w:p>
        </w:tc>
        <w:tc>
          <w:tcPr>
            <w:tcW w:w="1470" w:type="dxa"/>
            <w:vAlign w:val="center"/>
          </w:tcPr>
          <w:p w14:paraId="6E0F14E1">
            <w:pPr>
              <w:jc w:val="center"/>
              <w:rPr>
                <w:rFonts w:hint="eastAsia" w:ascii="方正仿宋_GBK" w:hAnsi="方正仿宋_GBK" w:eastAsia="方正仿宋_GBK" w:cs="方正仿宋_GBK"/>
                <w:sz w:val="28"/>
                <w:szCs w:val="28"/>
              </w:rPr>
            </w:pPr>
          </w:p>
        </w:tc>
        <w:tc>
          <w:tcPr>
            <w:tcW w:w="1391" w:type="dxa"/>
            <w:vAlign w:val="center"/>
          </w:tcPr>
          <w:p w14:paraId="15F1218A">
            <w:pPr>
              <w:jc w:val="center"/>
              <w:rPr>
                <w:rFonts w:hint="eastAsia" w:ascii="方正仿宋_GBK" w:hAnsi="方正仿宋_GBK" w:eastAsia="方正仿宋_GBK" w:cs="方正仿宋_GBK"/>
                <w:sz w:val="28"/>
                <w:szCs w:val="28"/>
              </w:rPr>
            </w:pPr>
          </w:p>
        </w:tc>
      </w:tr>
      <w:tr w14:paraId="7FDC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19" w:type="dxa"/>
            <w:vAlign w:val="center"/>
          </w:tcPr>
          <w:p w14:paraId="77B361BF">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2474" w:type="dxa"/>
            <w:vAlign w:val="center"/>
          </w:tcPr>
          <w:p w14:paraId="659630FA">
            <w:pPr>
              <w:jc w:val="center"/>
              <w:rPr>
                <w:rFonts w:hint="eastAsia" w:ascii="方正仿宋_GBK" w:hAnsi="方正仿宋_GBK" w:eastAsia="方正仿宋_GBK" w:cs="方正仿宋_GBK"/>
                <w:sz w:val="28"/>
                <w:szCs w:val="28"/>
              </w:rPr>
            </w:pPr>
          </w:p>
        </w:tc>
        <w:tc>
          <w:tcPr>
            <w:tcW w:w="1562" w:type="dxa"/>
          </w:tcPr>
          <w:p w14:paraId="140F9AEF">
            <w:pPr>
              <w:jc w:val="center"/>
              <w:rPr>
                <w:rFonts w:hint="eastAsia" w:ascii="方正仿宋_GBK" w:hAnsi="方正仿宋_GBK" w:eastAsia="方正仿宋_GBK" w:cs="方正仿宋_GBK"/>
                <w:sz w:val="28"/>
                <w:szCs w:val="28"/>
              </w:rPr>
            </w:pPr>
          </w:p>
        </w:tc>
        <w:tc>
          <w:tcPr>
            <w:tcW w:w="1562" w:type="dxa"/>
            <w:vAlign w:val="center"/>
          </w:tcPr>
          <w:p w14:paraId="59673C5C">
            <w:pPr>
              <w:jc w:val="center"/>
              <w:rPr>
                <w:rFonts w:hint="eastAsia" w:ascii="方正仿宋_GBK" w:hAnsi="方正仿宋_GBK" w:eastAsia="方正仿宋_GBK" w:cs="方正仿宋_GBK"/>
                <w:sz w:val="28"/>
                <w:szCs w:val="28"/>
                <w:highlight w:val="yellow"/>
              </w:rPr>
            </w:pPr>
          </w:p>
        </w:tc>
        <w:tc>
          <w:tcPr>
            <w:tcW w:w="1470" w:type="dxa"/>
            <w:vAlign w:val="center"/>
          </w:tcPr>
          <w:p w14:paraId="378BCAB6">
            <w:pPr>
              <w:jc w:val="center"/>
              <w:rPr>
                <w:rFonts w:hint="eastAsia" w:ascii="方正仿宋_GBK" w:hAnsi="方正仿宋_GBK" w:eastAsia="方正仿宋_GBK" w:cs="方正仿宋_GBK"/>
                <w:sz w:val="28"/>
                <w:szCs w:val="28"/>
              </w:rPr>
            </w:pPr>
          </w:p>
        </w:tc>
        <w:tc>
          <w:tcPr>
            <w:tcW w:w="1391" w:type="dxa"/>
            <w:vAlign w:val="center"/>
          </w:tcPr>
          <w:p w14:paraId="302783EA">
            <w:pPr>
              <w:jc w:val="center"/>
              <w:rPr>
                <w:rFonts w:hint="eastAsia" w:ascii="方正仿宋_GBK" w:hAnsi="方正仿宋_GBK" w:eastAsia="方正仿宋_GBK" w:cs="方正仿宋_GBK"/>
                <w:sz w:val="28"/>
                <w:szCs w:val="28"/>
              </w:rPr>
            </w:pPr>
          </w:p>
        </w:tc>
      </w:tr>
      <w:tr w14:paraId="0F4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3293" w:type="dxa"/>
            <w:gridSpan w:val="2"/>
            <w:vAlign w:val="center"/>
          </w:tcPr>
          <w:p w14:paraId="13A74132">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562" w:type="dxa"/>
          </w:tcPr>
          <w:p w14:paraId="5B371551">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4423" w:type="dxa"/>
            <w:gridSpan w:val="3"/>
            <w:vAlign w:val="center"/>
          </w:tcPr>
          <w:p w14:paraId="19E7A624">
            <w:pPr>
              <w:jc w:val="center"/>
              <w:rPr>
                <w:rFonts w:hint="eastAsia" w:ascii="方正仿宋_GBK" w:hAnsi="方正仿宋_GBK" w:eastAsia="方正仿宋_GBK" w:cs="方正仿宋_GBK"/>
                <w:sz w:val="28"/>
                <w:szCs w:val="28"/>
              </w:rPr>
            </w:pPr>
          </w:p>
        </w:tc>
      </w:tr>
    </w:tbl>
    <w:p w14:paraId="673E24CA">
      <w:pPr>
        <w:spacing w:line="500" w:lineRule="exact"/>
        <w:rPr>
          <w:rFonts w:ascii="方正仿宋_GBK" w:hAnsi="宋体" w:eastAsia="方正仿宋_GBK" w:cs="Times New Roman"/>
          <w:sz w:val="24"/>
          <w:szCs w:val="28"/>
        </w:rPr>
      </w:pPr>
    </w:p>
    <w:p w14:paraId="53DF00B4">
      <w:pPr>
        <w:spacing w:line="500" w:lineRule="exact"/>
        <w:rPr>
          <w:rFonts w:ascii="方正仿宋_GBK" w:hAnsi="宋体" w:eastAsia="方正仿宋_GBK" w:cs="Times New Roman"/>
          <w:sz w:val="24"/>
          <w:szCs w:val="28"/>
        </w:rPr>
      </w:pPr>
    </w:p>
    <w:p w14:paraId="433921EB">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14:paraId="1A7D44A3">
      <w:pPr>
        <w:tabs>
          <w:tab w:val="left" w:pos="5475"/>
        </w:tabs>
        <w:autoSpaceDE w:val="0"/>
        <w:autoSpaceDN w:val="0"/>
        <w:adjustRightInd w:val="0"/>
        <w:snapToGrid w:val="0"/>
        <w:spacing w:line="480" w:lineRule="auto"/>
        <w:ind w:firstLine="3360" w:firstLineChars="1200"/>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报</w:t>
      </w:r>
      <w:r>
        <w:rPr>
          <w:rFonts w:hint="eastAsia" w:ascii="宋体" w:hAnsi="宋体" w:eastAsia="宋体" w:cs="Times New Roman"/>
          <w:color w:val="000000"/>
          <w:kern w:val="0"/>
          <w:sz w:val="28"/>
          <w:szCs w:val="28"/>
        </w:rPr>
        <w:t>价</w:t>
      </w:r>
      <w:r>
        <w:rPr>
          <w:rFonts w:hint="eastAsia" w:ascii="宋体" w:hAnsi="宋体" w:eastAsia="宋体" w:cs="Times New Roman"/>
          <w:color w:val="000000"/>
          <w:kern w:val="0"/>
          <w:sz w:val="28"/>
          <w:szCs w:val="28"/>
          <w:lang w:val="en-US" w:eastAsia="zh-CN"/>
        </w:rPr>
        <w:t>单位名称</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lang w:val="en-US" w:eastAsia="zh-CN"/>
        </w:rPr>
        <w:t xml:space="preserve">               </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公</w:t>
      </w:r>
      <w:r>
        <w:rPr>
          <w:rFonts w:ascii="宋体" w:hAnsi="宋体" w:eastAsia="宋体" w:cs="Times New Roman"/>
          <w:color w:val="000000"/>
          <w:kern w:val="0"/>
          <w:sz w:val="28"/>
          <w:szCs w:val="28"/>
        </w:rPr>
        <w:t>章）</w:t>
      </w:r>
    </w:p>
    <w:p w14:paraId="3CA3852F">
      <w:pPr>
        <w:tabs>
          <w:tab w:val="left" w:pos="5475"/>
        </w:tabs>
        <w:autoSpaceDE w:val="0"/>
        <w:autoSpaceDN w:val="0"/>
        <w:adjustRightInd w:val="0"/>
        <w:snapToGrid w:val="0"/>
        <w:spacing w:line="480" w:lineRule="auto"/>
        <w:ind w:firstLine="3360" w:firstLineChars="1200"/>
        <w:jc w:val="left"/>
        <w:rPr>
          <w:rFonts w:hint="eastAsia" w:ascii="宋体" w:hAnsi="宋体" w:eastAsia="宋体" w:cs="Times New Roman"/>
          <w:color w:val="000000"/>
          <w:kern w:val="0"/>
          <w:sz w:val="28"/>
          <w:szCs w:val="28"/>
          <w:u w:val="single"/>
          <w:lang w:val="en-US" w:eastAsia="zh-CN"/>
        </w:rPr>
      </w:pPr>
      <w:r>
        <w:rPr>
          <w:rFonts w:hint="eastAsia" w:ascii="宋体" w:hAnsi="宋体" w:eastAsia="宋体" w:cs="Times New Roman"/>
          <w:color w:val="000000"/>
          <w:kern w:val="0"/>
          <w:sz w:val="28"/>
          <w:szCs w:val="28"/>
          <w:lang w:val="en-US" w:eastAsia="zh-CN"/>
        </w:rPr>
        <w:t>报</w:t>
      </w:r>
      <w:r>
        <w:rPr>
          <w:rFonts w:hint="eastAsia" w:ascii="宋体" w:hAnsi="宋体" w:eastAsia="宋体" w:cs="Times New Roman"/>
          <w:color w:val="000000"/>
          <w:kern w:val="0"/>
          <w:sz w:val="28"/>
          <w:szCs w:val="28"/>
        </w:rPr>
        <w:t>价</w:t>
      </w:r>
      <w:r>
        <w:rPr>
          <w:rFonts w:hint="eastAsia" w:ascii="宋体" w:hAnsi="宋体" w:eastAsia="宋体" w:cs="Times New Roman"/>
          <w:color w:val="000000"/>
          <w:kern w:val="0"/>
          <w:sz w:val="28"/>
          <w:szCs w:val="28"/>
          <w:lang w:val="en-US" w:eastAsia="zh-CN"/>
        </w:rPr>
        <w:t>单位联系人</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lang w:val="en-US" w:eastAsia="zh-CN"/>
        </w:rPr>
        <w:t xml:space="preserve">             </w:t>
      </w:r>
    </w:p>
    <w:p w14:paraId="64649813">
      <w:pPr>
        <w:tabs>
          <w:tab w:val="left" w:pos="5475"/>
        </w:tabs>
        <w:autoSpaceDE w:val="0"/>
        <w:autoSpaceDN w:val="0"/>
        <w:adjustRightInd w:val="0"/>
        <w:snapToGrid w:val="0"/>
        <w:spacing w:line="480" w:lineRule="auto"/>
        <w:ind w:firstLine="3360" w:firstLineChars="1200"/>
        <w:jc w:val="left"/>
        <w:rPr>
          <w:rFonts w:hint="eastAsia" w:ascii="宋体" w:hAnsi="宋体" w:eastAsia="宋体" w:cs="Times New Roman"/>
          <w:color w:val="000000"/>
          <w:kern w:val="0"/>
          <w:sz w:val="28"/>
          <w:szCs w:val="28"/>
          <w:u w:val="single"/>
          <w:lang w:val="en-US" w:eastAsia="zh-CN"/>
        </w:rPr>
      </w:pPr>
      <w:r>
        <w:rPr>
          <w:rFonts w:hint="eastAsia" w:ascii="宋体" w:hAnsi="宋体" w:eastAsia="宋体" w:cs="Times New Roman"/>
          <w:color w:val="000000"/>
          <w:kern w:val="0"/>
          <w:sz w:val="28"/>
          <w:szCs w:val="28"/>
          <w:lang w:val="en-US" w:eastAsia="zh-CN"/>
        </w:rPr>
        <w:t>报</w:t>
      </w:r>
      <w:r>
        <w:rPr>
          <w:rFonts w:hint="eastAsia" w:ascii="宋体" w:hAnsi="宋体" w:eastAsia="宋体" w:cs="Times New Roman"/>
          <w:color w:val="000000"/>
          <w:kern w:val="0"/>
          <w:sz w:val="28"/>
          <w:szCs w:val="28"/>
        </w:rPr>
        <w:t>价</w:t>
      </w:r>
      <w:r>
        <w:rPr>
          <w:rFonts w:hint="eastAsia" w:ascii="宋体" w:hAnsi="宋体" w:eastAsia="宋体" w:cs="Times New Roman"/>
          <w:color w:val="000000"/>
          <w:kern w:val="0"/>
          <w:sz w:val="28"/>
          <w:szCs w:val="28"/>
          <w:lang w:val="en-US" w:eastAsia="zh-CN"/>
        </w:rPr>
        <w:t>单位电话</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lang w:val="en-US" w:eastAsia="zh-CN"/>
        </w:rPr>
        <w:t xml:space="preserve">               </w:t>
      </w:r>
    </w:p>
    <w:p w14:paraId="33B9B789">
      <w:pPr>
        <w:tabs>
          <w:tab w:val="left" w:pos="5475"/>
        </w:tabs>
        <w:autoSpaceDE w:val="0"/>
        <w:autoSpaceDN w:val="0"/>
        <w:adjustRightInd w:val="0"/>
        <w:snapToGrid w:val="0"/>
        <w:spacing w:line="480" w:lineRule="auto"/>
        <w:ind w:firstLine="2800" w:firstLineChars="1000"/>
        <w:jc w:val="left"/>
        <w:rPr>
          <w:rFonts w:hint="eastAsia" w:ascii="宋体" w:hAnsi="宋体" w:eastAsia="宋体" w:cs="Times New Roman"/>
          <w:color w:val="000000"/>
          <w:kern w:val="0"/>
          <w:sz w:val="28"/>
          <w:szCs w:val="28"/>
          <w:u w:val="single"/>
          <w:lang w:val="en-US" w:eastAsia="zh-CN"/>
        </w:rPr>
      </w:pPr>
    </w:p>
    <w:p w14:paraId="00937FC1">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 xml:space="preserve"> </w:t>
      </w:r>
      <w:r>
        <w:rPr>
          <w:rFonts w:ascii="宋体" w:hAnsi="宋体" w:eastAsia="宋体" w:cs="Times New Roman"/>
          <w:color w:val="000000"/>
          <w:kern w:val="0"/>
          <w:sz w:val="28"/>
          <w:szCs w:val="28"/>
        </w:rPr>
        <w:tab/>
      </w:r>
      <w:r>
        <w:rPr>
          <w:rFonts w:ascii="宋体" w:hAnsi="宋体" w:eastAsia="宋体" w:cs="Times New Roman"/>
          <w:color w:val="000000"/>
          <w:kern w:val="0"/>
          <w:sz w:val="28"/>
          <w:szCs w:val="28"/>
        </w:rPr>
        <w:t>年   月   日</w:t>
      </w:r>
      <w:r>
        <w:rPr>
          <w:rFonts w:hint="eastAsia" w:ascii="宋体" w:hAnsi="宋体" w:eastAsia="宋体" w:cs="Times New Roman"/>
          <w:color w:val="000000"/>
          <w:kern w:val="0"/>
          <w:sz w:val="28"/>
          <w:szCs w:val="28"/>
        </w:rPr>
        <w:t xml:space="preserve">  </w:t>
      </w:r>
    </w:p>
    <w:p w14:paraId="1DA0EDB9">
      <w:pPr>
        <w:ind w:firstLine="640" w:firstLineChars="200"/>
        <w:rPr>
          <w:rFonts w:ascii="仿宋" w:hAnsi="仿宋" w:eastAsia="仿宋" w:cs="仿宋"/>
          <w:sz w:val="32"/>
          <w:szCs w:val="40"/>
        </w:rPr>
      </w:pPr>
    </w:p>
    <w:p w14:paraId="19562341">
      <w:pPr>
        <w:ind w:firstLine="640" w:firstLineChars="200"/>
        <w:rPr>
          <w:rFonts w:ascii="仿宋" w:hAnsi="仿宋" w:eastAsia="仿宋" w:cs="仿宋"/>
          <w:sz w:val="32"/>
          <w:szCs w:val="40"/>
        </w:rPr>
      </w:pPr>
    </w:p>
    <w:p w14:paraId="40E0B2C7">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p>
    <w:p w14:paraId="1694F806">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ascii="宋体" w:hAnsi="宋体" w:eastAsia="宋体" w:cs="Times New Roman"/>
          <w:b/>
          <w:color w:val="000000"/>
          <w:kern w:val="0"/>
          <w:sz w:val="28"/>
          <w:szCs w:val="28"/>
        </w:rPr>
      </w:pPr>
      <w:r>
        <w:rPr>
          <w:rFonts w:ascii="宋体" w:hAnsi="宋体" w:eastAsia="宋体" w:cs="Times New Roman"/>
          <w:b/>
          <w:color w:val="000000"/>
          <w:kern w:val="0"/>
          <w:sz w:val="28"/>
          <w:szCs w:val="28"/>
        </w:rPr>
        <w:br w:type="page"/>
      </w:r>
    </w:p>
    <w:p w14:paraId="19B88264">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lang w:eastAsia="zh-CN"/>
        </w:rPr>
      </w:pPr>
      <w:r>
        <w:rPr>
          <w:rFonts w:hint="eastAsia" w:ascii="方正黑体_GBK" w:hAnsi="方正黑体_GBK" w:eastAsia="方正黑体_GBK" w:cs="方正黑体_GBK"/>
          <w:b/>
          <w:bCs/>
          <w:kern w:val="44"/>
          <w:sz w:val="36"/>
          <w:szCs w:val="36"/>
        </w:rPr>
        <w:t>报价人营业执照</w:t>
      </w:r>
      <w:r>
        <w:rPr>
          <w:rFonts w:hint="eastAsia" w:ascii="方正黑体_GBK" w:hAnsi="方正黑体_GBK" w:eastAsia="方正黑体_GBK" w:cs="方正黑体_GBK"/>
          <w:b/>
          <w:bCs/>
          <w:kern w:val="44"/>
          <w:sz w:val="36"/>
          <w:szCs w:val="36"/>
          <w:lang w:eastAsia="zh-CN"/>
        </w:rPr>
        <w:t>：</w:t>
      </w:r>
    </w:p>
    <w:p w14:paraId="7E71C1C5">
      <w:pPr>
        <w:widowControl/>
        <w:jc w:val="left"/>
        <w:rPr>
          <w:rFonts w:ascii="仿宋" w:hAnsi="仿宋" w:eastAsia="仿宋" w:cs="仿宋"/>
          <w:sz w:val="32"/>
          <w:szCs w:val="40"/>
        </w:rPr>
      </w:pPr>
      <w:r>
        <w:rPr>
          <w:rFonts w:ascii="仿宋" w:hAnsi="仿宋" w:eastAsia="仿宋" w:cs="仿宋"/>
          <w:sz w:val="32"/>
          <w:szCs w:val="40"/>
        </w:rPr>
        <w:br w:type="page"/>
      </w:r>
    </w:p>
    <w:p w14:paraId="7992CAAE">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rPr>
      </w:pPr>
      <w:r>
        <w:rPr>
          <w:rFonts w:hint="eastAsia" w:ascii="方正黑体_GBK" w:hAnsi="方正黑体_GBK" w:eastAsia="方正黑体_GBK" w:cs="方正黑体_GBK"/>
          <w:b/>
          <w:bCs/>
          <w:kern w:val="44"/>
          <w:sz w:val="36"/>
          <w:szCs w:val="36"/>
        </w:rPr>
        <w:t>报价人资质证书：</w:t>
      </w:r>
    </w:p>
    <w:p w14:paraId="02C4EEF4">
      <w:pPr>
        <w:widowControl/>
        <w:jc w:val="left"/>
        <w:rPr>
          <w:rFonts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4F385"/>
    <w:multiLevelType w:val="singleLevel"/>
    <w:tmpl w:val="71D4F38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GRiNWU4N2ZmMzdiOTY4MjdjOTFlYjMxNzEyYWUifQ=="/>
  </w:docVars>
  <w:rsids>
    <w:rsidRoot w:val="00861296"/>
    <w:rsid w:val="00042359"/>
    <w:rsid w:val="00114EE1"/>
    <w:rsid w:val="001903A3"/>
    <w:rsid w:val="002D5EA2"/>
    <w:rsid w:val="00310804"/>
    <w:rsid w:val="003256E2"/>
    <w:rsid w:val="004127DE"/>
    <w:rsid w:val="00606BE6"/>
    <w:rsid w:val="006E1596"/>
    <w:rsid w:val="00765322"/>
    <w:rsid w:val="00790C4C"/>
    <w:rsid w:val="00861296"/>
    <w:rsid w:val="00921D7D"/>
    <w:rsid w:val="00935A5B"/>
    <w:rsid w:val="00A6767E"/>
    <w:rsid w:val="00AF5A10"/>
    <w:rsid w:val="00BD522F"/>
    <w:rsid w:val="00BF4122"/>
    <w:rsid w:val="00C234CD"/>
    <w:rsid w:val="00C71E09"/>
    <w:rsid w:val="00C748E8"/>
    <w:rsid w:val="00CB0A9F"/>
    <w:rsid w:val="00D22E4D"/>
    <w:rsid w:val="00DA50E0"/>
    <w:rsid w:val="00E1497C"/>
    <w:rsid w:val="00E243B0"/>
    <w:rsid w:val="00F56561"/>
    <w:rsid w:val="00FF7645"/>
    <w:rsid w:val="039C5DC6"/>
    <w:rsid w:val="06E34A76"/>
    <w:rsid w:val="077F1302"/>
    <w:rsid w:val="082C7692"/>
    <w:rsid w:val="09727371"/>
    <w:rsid w:val="151358DE"/>
    <w:rsid w:val="16DA03F7"/>
    <w:rsid w:val="198804EA"/>
    <w:rsid w:val="1E6F1C79"/>
    <w:rsid w:val="1E8976CC"/>
    <w:rsid w:val="2531712E"/>
    <w:rsid w:val="26714BFB"/>
    <w:rsid w:val="27A110F5"/>
    <w:rsid w:val="2D0724B2"/>
    <w:rsid w:val="2E0D7231"/>
    <w:rsid w:val="2F177EEF"/>
    <w:rsid w:val="343225F8"/>
    <w:rsid w:val="35A45037"/>
    <w:rsid w:val="3E304B29"/>
    <w:rsid w:val="4ADE6DAF"/>
    <w:rsid w:val="4F78446F"/>
    <w:rsid w:val="53A60423"/>
    <w:rsid w:val="53F80720"/>
    <w:rsid w:val="569357FD"/>
    <w:rsid w:val="5932001B"/>
    <w:rsid w:val="5B1E7D8B"/>
    <w:rsid w:val="5E3F1EE5"/>
    <w:rsid w:val="62C03D19"/>
    <w:rsid w:val="679551BD"/>
    <w:rsid w:val="6F325C57"/>
    <w:rsid w:val="708E73B5"/>
    <w:rsid w:val="74E14238"/>
    <w:rsid w:val="755E336C"/>
    <w:rsid w:val="774D17D9"/>
    <w:rsid w:val="77BA6C36"/>
    <w:rsid w:val="7DA261A2"/>
    <w:rsid w:val="7E85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HtmlNormal"/>
    <w:basedOn w:val="1"/>
    <w:qFormat/>
    <w:uiPriority w:val="0"/>
    <w:pPr>
      <w:widowControl/>
      <w:spacing w:before="100" w:beforeAutospacing="1" w:after="100" w:afterAutospacing="1"/>
      <w:jc w:val="left"/>
    </w:pPr>
    <w:rPr>
      <w:rFonts w:ascii="Times New Roman" w:hAnsi="Times New Roman" w:eastAsia="宋体"/>
      <w:kern w:val="0"/>
      <w:sz w:val="24"/>
      <w:szCs w:val="20"/>
    </w:rPr>
  </w:style>
  <w:style w:type="character" w:customStyle="1" w:styleId="9">
    <w:name w:val="NormalCharacter"/>
    <w:link w:val="10"/>
    <w:qFormat/>
    <w:uiPriority w:val="0"/>
    <w:rPr>
      <w:szCs w:val="22"/>
    </w:rPr>
  </w:style>
  <w:style w:type="paragraph" w:customStyle="1" w:styleId="10">
    <w:name w:val="UserStyle_0"/>
    <w:basedOn w:val="1"/>
    <w:link w:val="9"/>
    <w:qFormat/>
    <w:uiPriority w:val="0"/>
    <w:pPr>
      <w:spacing w:after="160" w:line="240" w:lineRule="exact"/>
      <w:jc w:val="left"/>
    </w:pPr>
    <w:rPr>
      <w:szCs w:val="22"/>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1339</Words>
  <Characters>1428</Characters>
  <Lines>16</Lines>
  <Paragraphs>4</Paragraphs>
  <TotalTime>2</TotalTime>
  <ScaleCrop>false</ScaleCrop>
  <LinksUpToDate>false</LinksUpToDate>
  <CharactersWithSpaces>1747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2022-05-05T01:58:00Z</dcterms:created>
  <dc:creator>邓婕</dc:creator>
  <cp:lastModifiedBy>有、意思</cp:lastModifiedBy>
  <dcterms:modified xsi:type="dcterms:W3CDTF">2025-09-22T10:06:46Z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0697303EE13A4EF9A595D78BFB9C1721_13</vt:lpwstr>
  </property>
  <property fmtid="{D5CDD505-2E9C-101B-9397-08002B2CF9AE}" pid="4" name="KSOTemplateDocerSaveRecord">
    <vt:lpwstr>eyJoZGlkIjoiNDVkNGRiNWU4N2ZmMzdiOTY4MjdjOTFlYjMxNzEyYWUiLCJ1c2VySWQiOiIzNDE0NzUwMjQifQ==</vt:lpwstr>
  </property>
</Properties>
</file>